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78D724" w14:textId="77777777" w:rsidR="008C6E26" w:rsidRDefault="008C6E26" w:rsidP="008C6E26">
      <w:pPr>
        <w:spacing w:line="360" w:lineRule="auto"/>
        <w:jc w:val="right"/>
        <w:rPr>
          <w:i/>
          <w:sz w:val="20"/>
        </w:rPr>
      </w:pPr>
      <w:bookmarkStart w:id="0" w:name="_GoBack"/>
      <w:bookmarkEnd w:id="0"/>
    </w:p>
    <w:p w14:paraId="79E24BE7" w14:textId="77777777" w:rsidR="008C6E26" w:rsidRDefault="008C6E26" w:rsidP="008C6E26">
      <w:pPr>
        <w:jc w:val="center"/>
      </w:pPr>
    </w:p>
    <w:p w14:paraId="7986D639" w14:textId="77777777" w:rsidR="008C6E26" w:rsidRDefault="008C6E26" w:rsidP="008C6E26">
      <w:pPr>
        <w:jc w:val="center"/>
      </w:pPr>
    </w:p>
    <w:p w14:paraId="44D54BE8" w14:textId="77777777" w:rsidR="008C6E26" w:rsidRDefault="008C6E26" w:rsidP="008C6E26">
      <w:pPr>
        <w:jc w:val="center"/>
      </w:pPr>
    </w:p>
    <w:p w14:paraId="45CDDF38" w14:textId="77777777" w:rsidR="008C6E26" w:rsidRPr="00FA22C6" w:rsidRDefault="008C6E26" w:rsidP="00ED3015">
      <w:pPr>
        <w:pStyle w:val="Kop9"/>
        <w:numPr>
          <w:ilvl w:val="0"/>
          <w:numId w:val="0"/>
        </w:numPr>
        <w:jc w:val="center"/>
        <w:rPr>
          <w:lang w:val="en-GB"/>
        </w:rPr>
      </w:pPr>
      <w:r w:rsidRPr="00FA22C6">
        <w:rPr>
          <w:lang w:val="en-GB"/>
        </w:rPr>
        <w:t>Academic Year 2015 - 2016</w:t>
      </w:r>
    </w:p>
    <w:p w14:paraId="05F93C51" w14:textId="77777777" w:rsidR="008C6E26" w:rsidRPr="00FA22C6" w:rsidRDefault="008C6E26" w:rsidP="008C6E26">
      <w:pPr>
        <w:rPr>
          <w:lang w:val="en-GB"/>
        </w:rPr>
      </w:pPr>
    </w:p>
    <w:p w14:paraId="458BA227" w14:textId="77777777" w:rsidR="008C6E26" w:rsidRPr="00FA22C6" w:rsidRDefault="008C6E26" w:rsidP="00ED3015">
      <w:pPr>
        <w:pStyle w:val="Kop2"/>
        <w:numPr>
          <w:ilvl w:val="0"/>
          <w:numId w:val="0"/>
        </w:numPr>
        <w:ind w:left="720"/>
        <w:rPr>
          <w:rFonts w:ascii="Arial" w:hAnsi="Arial"/>
          <w:b w:val="0"/>
          <w:lang w:val="en-GB"/>
        </w:rPr>
      </w:pPr>
    </w:p>
    <w:p w14:paraId="18D88AE3" w14:textId="2231CAE7" w:rsidR="008C6E26" w:rsidRPr="004124CD" w:rsidRDefault="00CC0A6F" w:rsidP="008C6E26">
      <w:pPr>
        <w:jc w:val="center"/>
        <w:outlineLvl w:val="0"/>
        <w:rPr>
          <w:rFonts w:cs="Arial"/>
          <w:b/>
          <w:bCs/>
          <w:sz w:val="36"/>
          <w:szCs w:val="36"/>
          <w:lang w:val="en-GB"/>
        </w:rPr>
      </w:pPr>
      <w:bookmarkStart w:id="1" w:name="_Toc449786052"/>
      <w:bookmarkStart w:id="2" w:name="_Toc449786129"/>
      <w:bookmarkStart w:id="3" w:name="_Toc449789728"/>
      <w:bookmarkStart w:id="4" w:name="_Toc450560565"/>
      <w:bookmarkStart w:id="5" w:name="_Toc450843642"/>
      <w:bookmarkStart w:id="6" w:name="_Toc450843861"/>
      <w:bookmarkStart w:id="7" w:name="_Toc451155472"/>
      <w:bookmarkStart w:id="8" w:name="_Toc451156257"/>
      <w:bookmarkStart w:id="9" w:name="_Toc451961471"/>
      <w:r>
        <w:rPr>
          <w:rFonts w:cs="Arial"/>
          <w:b/>
          <w:bCs/>
          <w:sz w:val="36"/>
          <w:szCs w:val="36"/>
          <w:lang w:val="en-GB"/>
        </w:rPr>
        <w:t xml:space="preserve">The use of progestins </w:t>
      </w:r>
      <w:bookmarkEnd w:id="1"/>
      <w:bookmarkEnd w:id="2"/>
      <w:bookmarkEnd w:id="3"/>
      <w:r w:rsidR="001E1DDB">
        <w:rPr>
          <w:rFonts w:cs="Arial"/>
          <w:b/>
          <w:bCs/>
          <w:sz w:val="36"/>
          <w:szCs w:val="36"/>
          <w:lang w:val="en-GB"/>
        </w:rPr>
        <w:t>in transgender youth</w:t>
      </w:r>
      <w:r>
        <w:rPr>
          <w:rFonts w:cs="Arial"/>
          <w:b/>
          <w:bCs/>
          <w:sz w:val="36"/>
          <w:szCs w:val="36"/>
          <w:lang w:val="en-GB"/>
        </w:rPr>
        <w:t xml:space="preserve">: </w:t>
      </w:r>
      <w:r w:rsidRPr="004124CD">
        <w:rPr>
          <w:rFonts w:cs="Arial"/>
          <w:b/>
          <w:bCs/>
          <w:sz w:val="36"/>
          <w:szCs w:val="36"/>
          <w:lang w:val="en-GB"/>
        </w:rPr>
        <w:t>Clinical and hormonal effects</w:t>
      </w:r>
      <w:bookmarkEnd w:id="4"/>
      <w:bookmarkEnd w:id="5"/>
      <w:bookmarkEnd w:id="6"/>
      <w:bookmarkEnd w:id="7"/>
      <w:bookmarkEnd w:id="8"/>
      <w:bookmarkEnd w:id="9"/>
    </w:p>
    <w:p w14:paraId="4654DC57" w14:textId="536ABE82" w:rsidR="008C6E26" w:rsidRPr="00107385" w:rsidRDefault="008C6E26" w:rsidP="008C6E26">
      <w:pPr>
        <w:jc w:val="center"/>
        <w:rPr>
          <w:b/>
          <w:sz w:val="40"/>
          <w:lang w:val="en-GB"/>
        </w:rPr>
      </w:pPr>
    </w:p>
    <w:p w14:paraId="4095C016" w14:textId="1448C225" w:rsidR="008C6E26" w:rsidRDefault="008C6E26" w:rsidP="008C6E26">
      <w:pPr>
        <w:jc w:val="center"/>
        <w:rPr>
          <w:b/>
          <w:sz w:val="40"/>
          <w:lang w:val="en-GB"/>
        </w:rPr>
      </w:pPr>
    </w:p>
    <w:p w14:paraId="464CBB8A" w14:textId="663B4577" w:rsidR="00406E0C" w:rsidRDefault="00406E0C" w:rsidP="008C6E26">
      <w:pPr>
        <w:jc w:val="center"/>
        <w:rPr>
          <w:b/>
          <w:sz w:val="40"/>
          <w:lang w:val="en-GB"/>
        </w:rPr>
      </w:pPr>
    </w:p>
    <w:p w14:paraId="0AE4E04B" w14:textId="77777777" w:rsidR="00406E0C" w:rsidRPr="008C6E26" w:rsidRDefault="00406E0C" w:rsidP="008C6E26">
      <w:pPr>
        <w:jc w:val="center"/>
        <w:rPr>
          <w:b/>
          <w:sz w:val="40"/>
          <w:lang w:val="en-GB"/>
        </w:rPr>
      </w:pPr>
    </w:p>
    <w:p w14:paraId="4BF6D499" w14:textId="77BB20A8" w:rsidR="008C6E26" w:rsidRPr="008C6E26" w:rsidRDefault="008C6E26" w:rsidP="008C6E26">
      <w:pPr>
        <w:jc w:val="center"/>
        <w:rPr>
          <w:b/>
          <w:sz w:val="40"/>
          <w:lang w:val="en-GB"/>
        </w:rPr>
      </w:pPr>
    </w:p>
    <w:p w14:paraId="5746CBCB" w14:textId="77777777" w:rsidR="008C6E26" w:rsidRPr="008C6E26" w:rsidRDefault="008C6E26" w:rsidP="00ED3015">
      <w:pPr>
        <w:pStyle w:val="Kop6"/>
        <w:numPr>
          <w:ilvl w:val="0"/>
          <w:numId w:val="0"/>
        </w:numPr>
        <w:ind w:left="3600"/>
        <w:rPr>
          <w:rFonts w:asciiTheme="minorHAnsi" w:eastAsiaTheme="minorHAnsi" w:hAnsiTheme="minorHAnsi" w:cs="Arial"/>
          <w:b/>
          <w:bCs/>
          <w:i w:val="0"/>
          <w:iCs w:val="0"/>
          <w:color w:val="auto"/>
          <w:sz w:val="36"/>
          <w:szCs w:val="36"/>
          <w:lang w:val="en-GB"/>
        </w:rPr>
      </w:pPr>
      <w:r w:rsidRPr="008C6E26">
        <w:rPr>
          <w:rFonts w:asciiTheme="minorHAnsi" w:eastAsiaTheme="minorHAnsi" w:hAnsiTheme="minorHAnsi" w:cs="Arial"/>
          <w:b/>
          <w:bCs/>
          <w:i w:val="0"/>
          <w:iCs w:val="0"/>
          <w:color w:val="auto"/>
          <w:sz w:val="36"/>
          <w:szCs w:val="36"/>
          <w:lang w:val="en-GB"/>
        </w:rPr>
        <w:t>Lloyd Tack</w:t>
      </w:r>
    </w:p>
    <w:p w14:paraId="23FD25BA" w14:textId="1234A519" w:rsidR="008C6E26" w:rsidRPr="008C6E26" w:rsidRDefault="008C6E26" w:rsidP="008C6E26">
      <w:pPr>
        <w:jc w:val="center"/>
        <w:rPr>
          <w:b/>
          <w:sz w:val="36"/>
          <w:lang w:val="en-GB"/>
        </w:rPr>
      </w:pPr>
    </w:p>
    <w:p w14:paraId="419D0AB7" w14:textId="35D524B0" w:rsidR="008C6E26" w:rsidRDefault="008C6E26" w:rsidP="008C6E26">
      <w:pPr>
        <w:jc w:val="center"/>
        <w:rPr>
          <w:sz w:val="24"/>
          <w:lang w:val="en-GB"/>
        </w:rPr>
      </w:pPr>
      <w:r w:rsidRPr="008C6E26">
        <w:rPr>
          <w:sz w:val="24"/>
          <w:lang w:val="en-GB"/>
        </w:rPr>
        <w:t>Promotor: Prof. Dr. M</w:t>
      </w:r>
      <w:r>
        <w:rPr>
          <w:sz w:val="24"/>
          <w:lang w:val="en-GB"/>
        </w:rPr>
        <w:t>artine Cools</w:t>
      </w:r>
    </w:p>
    <w:p w14:paraId="4CED4649" w14:textId="77777777" w:rsidR="00F44287" w:rsidRPr="008C6E26" w:rsidRDefault="00F44287" w:rsidP="008C6E26">
      <w:pPr>
        <w:jc w:val="center"/>
        <w:rPr>
          <w:sz w:val="24"/>
          <w:lang w:val="en-GB"/>
        </w:rPr>
      </w:pPr>
    </w:p>
    <w:p w14:paraId="29BF8952" w14:textId="18F0967A" w:rsidR="00F44287" w:rsidRDefault="00F44287" w:rsidP="00F44287">
      <w:pPr>
        <w:jc w:val="center"/>
        <w:rPr>
          <w:lang w:val="en-US"/>
        </w:rPr>
      </w:pPr>
      <w:bookmarkStart w:id="10" w:name="_Toc449789730"/>
      <w:bookmarkStart w:id="11" w:name="_Toc450560567"/>
      <w:r>
        <w:rPr>
          <w:lang w:val="en-US"/>
        </w:rPr>
        <w:t>Research report presented in the 4</w:t>
      </w:r>
      <w:r>
        <w:rPr>
          <w:vertAlign w:val="superscript"/>
          <w:lang w:val="en-US"/>
        </w:rPr>
        <w:t>th</w:t>
      </w:r>
      <w:r>
        <w:rPr>
          <w:lang w:val="en-US"/>
        </w:rPr>
        <w:t xml:space="preserve"> Master year </w:t>
      </w:r>
    </w:p>
    <w:p w14:paraId="3403D6CC" w14:textId="77777777" w:rsidR="00F44287" w:rsidRDefault="00F44287" w:rsidP="00F44287">
      <w:pPr>
        <w:jc w:val="center"/>
        <w:rPr>
          <w:lang w:val="en-US"/>
        </w:rPr>
      </w:pPr>
      <w:r>
        <w:rPr>
          <w:lang w:val="en-US"/>
        </w:rPr>
        <w:t>for “CLERKSHIP: Research for the Hospital Doctor”</w:t>
      </w:r>
    </w:p>
    <w:p w14:paraId="4268EE5F" w14:textId="1B6ECB29" w:rsidR="00F44287" w:rsidRDefault="00F44287" w:rsidP="00F44287">
      <w:pPr>
        <w:jc w:val="center"/>
        <w:rPr>
          <w:lang w:val="en-US"/>
        </w:rPr>
      </w:pPr>
      <w:r>
        <w:rPr>
          <w:lang w:val="en-US"/>
        </w:rPr>
        <w:t xml:space="preserve">In the program of </w:t>
      </w:r>
    </w:p>
    <w:p w14:paraId="6C6A917B" w14:textId="77777777" w:rsidR="008E2272" w:rsidRDefault="00F44287" w:rsidP="00860A57">
      <w:pPr>
        <w:jc w:val="center"/>
        <w:rPr>
          <w:b/>
          <w:lang w:val="en-US"/>
        </w:rPr>
        <w:sectPr w:rsidR="008E2272" w:rsidSect="00641F39">
          <w:headerReference w:type="default" r:id="rId8"/>
          <w:pgSz w:w="11906" w:h="16838"/>
          <w:pgMar w:top="1417" w:right="1417" w:bottom="1417" w:left="1417" w:header="708" w:footer="708" w:gutter="0"/>
          <w:pgNumType w:fmt="upperRoman" w:start="1"/>
          <w:cols w:space="708"/>
          <w:docGrid w:linePitch="360"/>
        </w:sectPr>
      </w:pPr>
      <w:r w:rsidRPr="00F44287">
        <w:rPr>
          <w:b/>
          <w:lang w:val="en-US"/>
        </w:rPr>
        <w:t>Master of Medicine in Medicine</w:t>
      </w:r>
    </w:p>
    <w:p w14:paraId="466753D6" w14:textId="4F5C184A" w:rsidR="00F44287" w:rsidRDefault="00F44287" w:rsidP="00860A57">
      <w:pPr>
        <w:jc w:val="center"/>
        <w:rPr>
          <w:b/>
          <w:lang w:val="en-US"/>
        </w:rPr>
      </w:pPr>
    </w:p>
    <w:bookmarkEnd w:id="10"/>
    <w:bookmarkEnd w:id="11"/>
    <w:p w14:paraId="76349E7B" w14:textId="77777777" w:rsidR="008C6E26" w:rsidRDefault="008C6E26">
      <w:pPr>
        <w:rPr>
          <w:rFonts w:asciiTheme="majorHAnsi" w:eastAsiaTheme="majorEastAsia" w:hAnsiTheme="majorHAnsi" w:cstheme="majorBidi"/>
          <w:b/>
          <w:bCs/>
          <w:color w:val="4F81BD" w:themeColor="accent1"/>
          <w:sz w:val="26"/>
          <w:szCs w:val="20"/>
          <w:lang w:val="en-GB"/>
        </w:rPr>
      </w:pPr>
    </w:p>
    <w:p w14:paraId="2C560059" w14:textId="77777777" w:rsidR="00641F39" w:rsidRDefault="002F14E9">
      <w:pPr>
        <w:rPr>
          <w:szCs w:val="20"/>
          <w:lang w:val="en-GB"/>
        </w:rPr>
        <w:sectPr w:rsidR="00641F39" w:rsidSect="00641F39">
          <w:headerReference w:type="default" r:id="rId9"/>
          <w:pgSz w:w="11906" w:h="16838"/>
          <w:pgMar w:top="1417" w:right="1417" w:bottom="1417" w:left="1417" w:header="708" w:footer="708" w:gutter="0"/>
          <w:pgNumType w:fmt="upperRoman" w:start="1"/>
          <w:cols w:space="708"/>
          <w:docGrid w:linePitch="360"/>
        </w:sectPr>
      </w:pPr>
      <w:r>
        <w:rPr>
          <w:szCs w:val="20"/>
          <w:lang w:val="en-GB"/>
        </w:rPr>
        <w:br w:type="page"/>
      </w:r>
    </w:p>
    <w:bookmarkStart w:id="12" w:name="_Toc451961472" w:displacedByCustomXml="next"/>
    <w:bookmarkStart w:id="13" w:name="_Toc450843643" w:displacedByCustomXml="next"/>
    <w:bookmarkStart w:id="14" w:name="_Toc450843862" w:displacedByCustomXml="next"/>
    <w:bookmarkStart w:id="15" w:name="_Toc451155473" w:displacedByCustomXml="next"/>
    <w:bookmarkStart w:id="16" w:name="_Toc451156258" w:displacedByCustomXml="next"/>
    <w:sdt>
      <w:sdtPr>
        <w:rPr>
          <w:rFonts w:asciiTheme="minorHAnsi" w:eastAsiaTheme="minorHAnsi" w:hAnsiTheme="minorHAnsi" w:cstheme="minorBidi"/>
          <w:b w:val="0"/>
          <w:bCs w:val="0"/>
          <w:color w:val="auto"/>
          <w:sz w:val="22"/>
          <w:szCs w:val="22"/>
          <w:lang w:val="nl-NL" w:eastAsia="en-US"/>
        </w:rPr>
        <w:id w:val="1106925034"/>
        <w:docPartObj>
          <w:docPartGallery w:val="Table of Contents"/>
          <w:docPartUnique/>
        </w:docPartObj>
      </w:sdtPr>
      <w:sdtEndPr>
        <w:rPr>
          <w:rFonts w:eastAsiaTheme="minorEastAsia"/>
          <w:lang w:val="nl-BE" w:eastAsia="nl-BE"/>
        </w:rPr>
      </w:sdtEndPr>
      <w:sdtContent>
        <w:p w14:paraId="2D64B195" w14:textId="77777777" w:rsidR="00F3327F" w:rsidRDefault="00F97EA1" w:rsidP="0014302B">
          <w:pPr>
            <w:pStyle w:val="Kop1"/>
            <w:numPr>
              <w:ilvl w:val="0"/>
              <w:numId w:val="0"/>
            </w:numPr>
            <w:rPr>
              <w:noProof/>
            </w:rPr>
          </w:pPr>
          <w:r>
            <w:rPr>
              <w:lang w:val="nl-NL"/>
            </w:rPr>
            <w:t>Content</w:t>
          </w:r>
          <w:bookmarkEnd w:id="16"/>
          <w:bookmarkEnd w:id="15"/>
          <w:bookmarkEnd w:id="14"/>
          <w:bookmarkEnd w:id="13"/>
          <w:bookmarkEnd w:id="12"/>
          <w:r w:rsidR="00C942CA">
            <w:rPr>
              <w:b w:val="0"/>
              <w:bCs w:val="0"/>
            </w:rPr>
            <w:fldChar w:fldCharType="begin"/>
          </w:r>
          <w:r w:rsidR="00C942CA">
            <w:instrText xml:space="preserve"> TOC \o "1-3" \h \z \u </w:instrText>
          </w:r>
          <w:r w:rsidR="00C942CA">
            <w:rPr>
              <w:b w:val="0"/>
              <w:bCs w:val="0"/>
            </w:rPr>
            <w:fldChar w:fldCharType="separate"/>
          </w:r>
        </w:p>
        <w:p w14:paraId="76AAA5F7" w14:textId="3E7D1325" w:rsidR="00F3327F" w:rsidRDefault="00892229">
          <w:pPr>
            <w:pStyle w:val="Inhopg1"/>
            <w:tabs>
              <w:tab w:val="left" w:pos="440"/>
              <w:tab w:val="right" w:leader="dot" w:pos="9062"/>
            </w:tabs>
            <w:rPr>
              <w:noProof/>
            </w:rPr>
          </w:pPr>
          <w:hyperlink w:anchor="_Toc451961473" w:history="1">
            <w:r w:rsidR="00F3327F" w:rsidRPr="00A26983">
              <w:rPr>
                <w:rStyle w:val="Hyperlink"/>
                <w:noProof/>
                <w:lang w:val="en-GB"/>
              </w:rPr>
              <w:t>I.</w:t>
            </w:r>
            <w:r w:rsidR="00F3327F">
              <w:rPr>
                <w:noProof/>
              </w:rPr>
              <w:tab/>
            </w:r>
            <w:r w:rsidR="00F3327F" w:rsidRPr="00A26983">
              <w:rPr>
                <w:rStyle w:val="Hyperlink"/>
                <w:noProof/>
                <w:lang w:val="en-GB"/>
              </w:rPr>
              <w:t>Background</w:t>
            </w:r>
            <w:r w:rsidR="00F3327F">
              <w:rPr>
                <w:noProof/>
                <w:webHidden/>
              </w:rPr>
              <w:tab/>
            </w:r>
            <w:r w:rsidR="00F3327F">
              <w:rPr>
                <w:noProof/>
                <w:webHidden/>
              </w:rPr>
              <w:fldChar w:fldCharType="begin"/>
            </w:r>
            <w:r w:rsidR="00F3327F">
              <w:rPr>
                <w:noProof/>
                <w:webHidden/>
              </w:rPr>
              <w:instrText xml:space="preserve"> PAGEREF _Toc451961473 \h </w:instrText>
            </w:r>
            <w:r w:rsidR="00F3327F">
              <w:rPr>
                <w:noProof/>
                <w:webHidden/>
              </w:rPr>
            </w:r>
            <w:r w:rsidR="00F3327F">
              <w:rPr>
                <w:noProof/>
                <w:webHidden/>
              </w:rPr>
              <w:fldChar w:fldCharType="separate"/>
            </w:r>
            <w:r w:rsidR="00BC2743">
              <w:rPr>
                <w:noProof/>
                <w:webHidden/>
              </w:rPr>
              <w:t>1</w:t>
            </w:r>
            <w:r w:rsidR="00F3327F">
              <w:rPr>
                <w:noProof/>
                <w:webHidden/>
              </w:rPr>
              <w:fldChar w:fldCharType="end"/>
            </w:r>
          </w:hyperlink>
        </w:p>
        <w:p w14:paraId="0BADDA56" w14:textId="2C7D99DC" w:rsidR="00F3327F" w:rsidRDefault="00892229">
          <w:pPr>
            <w:pStyle w:val="Inhopg2"/>
            <w:tabs>
              <w:tab w:val="left" w:pos="660"/>
              <w:tab w:val="right" w:leader="dot" w:pos="9062"/>
            </w:tabs>
            <w:rPr>
              <w:noProof/>
            </w:rPr>
          </w:pPr>
          <w:hyperlink w:anchor="_Toc451961474" w:history="1">
            <w:r w:rsidR="00F3327F" w:rsidRPr="00A26983">
              <w:rPr>
                <w:rStyle w:val="Hyperlink"/>
                <w:noProof/>
                <w:lang w:val="en-GB"/>
                <w14:scene3d>
                  <w14:camera w14:prst="orthographicFront"/>
                  <w14:lightRig w14:rig="threePt" w14:dir="t">
                    <w14:rot w14:lat="0" w14:lon="0" w14:rev="0"/>
                  </w14:lightRig>
                </w14:scene3d>
              </w:rPr>
              <w:t>1.</w:t>
            </w:r>
            <w:r w:rsidR="00F3327F">
              <w:rPr>
                <w:noProof/>
              </w:rPr>
              <w:tab/>
            </w:r>
            <w:r w:rsidR="00F3327F" w:rsidRPr="00A26983">
              <w:rPr>
                <w:rStyle w:val="Hyperlink"/>
                <w:noProof/>
                <w:lang w:val="en-GB"/>
              </w:rPr>
              <w:t>Definitions</w:t>
            </w:r>
            <w:r w:rsidR="00F3327F">
              <w:rPr>
                <w:noProof/>
                <w:webHidden/>
              </w:rPr>
              <w:tab/>
            </w:r>
            <w:r w:rsidR="00F3327F">
              <w:rPr>
                <w:noProof/>
                <w:webHidden/>
              </w:rPr>
              <w:fldChar w:fldCharType="begin"/>
            </w:r>
            <w:r w:rsidR="00F3327F">
              <w:rPr>
                <w:noProof/>
                <w:webHidden/>
              </w:rPr>
              <w:instrText xml:space="preserve"> PAGEREF _Toc451961474 \h </w:instrText>
            </w:r>
            <w:r w:rsidR="00F3327F">
              <w:rPr>
                <w:noProof/>
                <w:webHidden/>
              </w:rPr>
            </w:r>
            <w:r w:rsidR="00F3327F">
              <w:rPr>
                <w:noProof/>
                <w:webHidden/>
              </w:rPr>
              <w:fldChar w:fldCharType="separate"/>
            </w:r>
            <w:r w:rsidR="00BC2743">
              <w:rPr>
                <w:noProof/>
                <w:webHidden/>
              </w:rPr>
              <w:t>1</w:t>
            </w:r>
            <w:r w:rsidR="00F3327F">
              <w:rPr>
                <w:noProof/>
                <w:webHidden/>
              </w:rPr>
              <w:fldChar w:fldCharType="end"/>
            </w:r>
          </w:hyperlink>
        </w:p>
        <w:p w14:paraId="279DD469" w14:textId="174D39AE" w:rsidR="00F3327F" w:rsidRDefault="00892229">
          <w:pPr>
            <w:pStyle w:val="Inhopg2"/>
            <w:tabs>
              <w:tab w:val="left" w:pos="660"/>
              <w:tab w:val="right" w:leader="dot" w:pos="9062"/>
            </w:tabs>
            <w:rPr>
              <w:noProof/>
            </w:rPr>
          </w:pPr>
          <w:hyperlink w:anchor="_Toc451961475" w:history="1">
            <w:r w:rsidR="00F3327F" w:rsidRPr="00A26983">
              <w:rPr>
                <w:rStyle w:val="Hyperlink"/>
                <w:noProof/>
                <w:lang w:val="en-GB"/>
                <w14:scene3d>
                  <w14:camera w14:prst="orthographicFront"/>
                  <w14:lightRig w14:rig="threePt" w14:dir="t">
                    <w14:rot w14:lat="0" w14:lon="0" w14:rev="0"/>
                  </w14:lightRig>
                </w14:scene3d>
              </w:rPr>
              <w:t>2.</w:t>
            </w:r>
            <w:r w:rsidR="00F3327F">
              <w:rPr>
                <w:noProof/>
              </w:rPr>
              <w:tab/>
            </w:r>
            <w:r w:rsidR="00F3327F" w:rsidRPr="00A26983">
              <w:rPr>
                <w:rStyle w:val="Hyperlink"/>
                <w:noProof/>
                <w:lang w:val="en-GB"/>
              </w:rPr>
              <w:t>Puberty suppression</w:t>
            </w:r>
            <w:r w:rsidR="00F3327F">
              <w:rPr>
                <w:noProof/>
                <w:webHidden/>
              </w:rPr>
              <w:tab/>
            </w:r>
            <w:r w:rsidR="00F3327F">
              <w:rPr>
                <w:noProof/>
                <w:webHidden/>
              </w:rPr>
              <w:fldChar w:fldCharType="begin"/>
            </w:r>
            <w:r w:rsidR="00F3327F">
              <w:rPr>
                <w:noProof/>
                <w:webHidden/>
              </w:rPr>
              <w:instrText xml:space="preserve"> PAGEREF _Toc451961475 \h </w:instrText>
            </w:r>
            <w:r w:rsidR="00F3327F">
              <w:rPr>
                <w:noProof/>
                <w:webHidden/>
              </w:rPr>
            </w:r>
            <w:r w:rsidR="00F3327F">
              <w:rPr>
                <w:noProof/>
                <w:webHidden/>
              </w:rPr>
              <w:fldChar w:fldCharType="separate"/>
            </w:r>
            <w:r w:rsidR="00BC2743">
              <w:rPr>
                <w:noProof/>
                <w:webHidden/>
              </w:rPr>
              <w:t>1</w:t>
            </w:r>
            <w:r w:rsidR="00F3327F">
              <w:rPr>
                <w:noProof/>
                <w:webHidden/>
              </w:rPr>
              <w:fldChar w:fldCharType="end"/>
            </w:r>
          </w:hyperlink>
        </w:p>
        <w:p w14:paraId="6CEA7857" w14:textId="0F15C396" w:rsidR="00F3327F" w:rsidRDefault="00892229">
          <w:pPr>
            <w:pStyle w:val="Inhopg3"/>
            <w:tabs>
              <w:tab w:val="left" w:pos="880"/>
              <w:tab w:val="right" w:leader="dot" w:pos="9062"/>
            </w:tabs>
            <w:rPr>
              <w:noProof/>
            </w:rPr>
          </w:pPr>
          <w:hyperlink w:anchor="_Toc451961476" w:history="1">
            <w:r w:rsidR="00F3327F" w:rsidRPr="00A26983">
              <w:rPr>
                <w:rStyle w:val="Hyperlink"/>
                <w:noProof/>
                <w:lang w:val="en-GB"/>
              </w:rPr>
              <w:t>a)</w:t>
            </w:r>
            <w:r w:rsidR="00F3327F">
              <w:rPr>
                <w:noProof/>
              </w:rPr>
              <w:tab/>
            </w:r>
            <w:r w:rsidR="00F3327F" w:rsidRPr="00A26983">
              <w:rPr>
                <w:rStyle w:val="Hyperlink"/>
                <w:noProof/>
                <w:lang w:val="en-GB"/>
              </w:rPr>
              <w:t>Cyproterone acetate</w:t>
            </w:r>
            <w:r w:rsidR="00F3327F">
              <w:rPr>
                <w:noProof/>
                <w:webHidden/>
              </w:rPr>
              <w:tab/>
            </w:r>
            <w:r w:rsidR="00F3327F">
              <w:rPr>
                <w:noProof/>
                <w:webHidden/>
              </w:rPr>
              <w:fldChar w:fldCharType="begin"/>
            </w:r>
            <w:r w:rsidR="00F3327F">
              <w:rPr>
                <w:noProof/>
                <w:webHidden/>
              </w:rPr>
              <w:instrText xml:space="preserve"> PAGEREF _Toc451961476 \h </w:instrText>
            </w:r>
            <w:r w:rsidR="00F3327F">
              <w:rPr>
                <w:noProof/>
                <w:webHidden/>
              </w:rPr>
            </w:r>
            <w:r w:rsidR="00F3327F">
              <w:rPr>
                <w:noProof/>
                <w:webHidden/>
              </w:rPr>
              <w:fldChar w:fldCharType="separate"/>
            </w:r>
            <w:r w:rsidR="00BC2743">
              <w:rPr>
                <w:noProof/>
                <w:webHidden/>
              </w:rPr>
              <w:t>2</w:t>
            </w:r>
            <w:r w:rsidR="00F3327F">
              <w:rPr>
                <w:noProof/>
                <w:webHidden/>
              </w:rPr>
              <w:fldChar w:fldCharType="end"/>
            </w:r>
          </w:hyperlink>
        </w:p>
        <w:p w14:paraId="7A178448" w14:textId="1857F160" w:rsidR="00F3327F" w:rsidRDefault="00892229">
          <w:pPr>
            <w:pStyle w:val="Inhopg3"/>
            <w:tabs>
              <w:tab w:val="left" w:pos="880"/>
              <w:tab w:val="right" w:leader="dot" w:pos="9062"/>
            </w:tabs>
            <w:rPr>
              <w:noProof/>
            </w:rPr>
          </w:pPr>
          <w:hyperlink w:anchor="_Toc451961477" w:history="1">
            <w:r w:rsidR="00F3327F" w:rsidRPr="00A26983">
              <w:rPr>
                <w:rStyle w:val="Hyperlink"/>
                <w:noProof/>
                <w:lang w:val="en-GB"/>
              </w:rPr>
              <w:t>b)</w:t>
            </w:r>
            <w:r w:rsidR="00F3327F">
              <w:rPr>
                <w:noProof/>
              </w:rPr>
              <w:tab/>
            </w:r>
            <w:r w:rsidR="00F3327F" w:rsidRPr="00A26983">
              <w:rPr>
                <w:rStyle w:val="Hyperlink"/>
                <w:noProof/>
                <w:lang w:val="en-GB"/>
              </w:rPr>
              <w:t>Lynestrenol</w:t>
            </w:r>
            <w:r w:rsidR="00F3327F">
              <w:rPr>
                <w:noProof/>
                <w:webHidden/>
              </w:rPr>
              <w:tab/>
            </w:r>
            <w:r w:rsidR="00F3327F">
              <w:rPr>
                <w:noProof/>
                <w:webHidden/>
              </w:rPr>
              <w:fldChar w:fldCharType="begin"/>
            </w:r>
            <w:r w:rsidR="00F3327F">
              <w:rPr>
                <w:noProof/>
                <w:webHidden/>
              </w:rPr>
              <w:instrText xml:space="preserve"> PAGEREF _Toc451961477 \h </w:instrText>
            </w:r>
            <w:r w:rsidR="00F3327F">
              <w:rPr>
                <w:noProof/>
                <w:webHidden/>
              </w:rPr>
            </w:r>
            <w:r w:rsidR="00F3327F">
              <w:rPr>
                <w:noProof/>
                <w:webHidden/>
              </w:rPr>
              <w:fldChar w:fldCharType="separate"/>
            </w:r>
            <w:r w:rsidR="00BC2743">
              <w:rPr>
                <w:noProof/>
                <w:webHidden/>
              </w:rPr>
              <w:t>3</w:t>
            </w:r>
            <w:r w:rsidR="00F3327F">
              <w:rPr>
                <w:noProof/>
                <w:webHidden/>
              </w:rPr>
              <w:fldChar w:fldCharType="end"/>
            </w:r>
          </w:hyperlink>
        </w:p>
        <w:p w14:paraId="733AC6E6" w14:textId="5675B418" w:rsidR="00F3327F" w:rsidRDefault="00892229">
          <w:pPr>
            <w:pStyle w:val="Inhopg2"/>
            <w:tabs>
              <w:tab w:val="left" w:pos="660"/>
              <w:tab w:val="right" w:leader="dot" w:pos="9062"/>
            </w:tabs>
            <w:rPr>
              <w:noProof/>
            </w:rPr>
          </w:pPr>
          <w:hyperlink w:anchor="_Toc451961478" w:history="1">
            <w:r w:rsidR="00F3327F" w:rsidRPr="00A26983">
              <w:rPr>
                <w:rStyle w:val="Hyperlink"/>
                <w:noProof/>
                <w:lang w:val="en-GB"/>
                <w14:scene3d>
                  <w14:camera w14:prst="orthographicFront"/>
                  <w14:lightRig w14:rig="threePt" w14:dir="t">
                    <w14:rot w14:lat="0" w14:lon="0" w14:rev="0"/>
                  </w14:lightRig>
                </w14:scene3d>
              </w:rPr>
              <w:t>3.</w:t>
            </w:r>
            <w:r w:rsidR="00F3327F">
              <w:rPr>
                <w:noProof/>
              </w:rPr>
              <w:tab/>
            </w:r>
            <w:r w:rsidR="00F3327F" w:rsidRPr="00A26983">
              <w:rPr>
                <w:rStyle w:val="Hyperlink"/>
                <w:noProof/>
                <w:lang w:val="en-GB"/>
              </w:rPr>
              <w:t>Cross-sex hormones</w:t>
            </w:r>
            <w:r w:rsidR="00F3327F">
              <w:rPr>
                <w:noProof/>
                <w:webHidden/>
              </w:rPr>
              <w:tab/>
            </w:r>
            <w:r w:rsidR="00F3327F">
              <w:rPr>
                <w:noProof/>
                <w:webHidden/>
              </w:rPr>
              <w:fldChar w:fldCharType="begin"/>
            </w:r>
            <w:r w:rsidR="00F3327F">
              <w:rPr>
                <w:noProof/>
                <w:webHidden/>
              </w:rPr>
              <w:instrText xml:space="preserve"> PAGEREF _Toc451961478 \h </w:instrText>
            </w:r>
            <w:r w:rsidR="00F3327F">
              <w:rPr>
                <w:noProof/>
                <w:webHidden/>
              </w:rPr>
            </w:r>
            <w:r w:rsidR="00F3327F">
              <w:rPr>
                <w:noProof/>
                <w:webHidden/>
              </w:rPr>
              <w:fldChar w:fldCharType="separate"/>
            </w:r>
            <w:r w:rsidR="00BC2743">
              <w:rPr>
                <w:noProof/>
                <w:webHidden/>
              </w:rPr>
              <w:t>3</w:t>
            </w:r>
            <w:r w:rsidR="00F3327F">
              <w:rPr>
                <w:noProof/>
                <w:webHidden/>
              </w:rPr>
              <w:fldChar w:fldCharType="end"/>
            </w:r>
          </w:hyperlink>
        </w:p>
        <w:p w14:paraId="30ED526D" w14:textId="75AF2513" w:rsidR="00F3327F" w:rsidRDefault="00892229">
          <w:pPr>
            <w:pStyle w:val="Inhopg3"/>
            <w:tabs>
              <w:tab w:val="left" w:pos="880"/>
              <w:tab w:val="right" w:leader="dot" w:pos="9062"/>
            </w:tabs>
            <w:rPr>
              <w:noProof/>
            </w:rPr>
          </w:pPr>
          <w:hyperlink w:anchor="_Toc451961479" w:history="1">
            <w:r w:rsidR="00F3327F" w:rsidRPr="00A26983">
              <w:rPr>
                <w:rStyle w:val="Hyperlink"/>
                <w:noProof/>
                <w:lang w:val="en-GB"/>
              </w:rPr>
              <w:t>a)</w:t>
            </w:r>
            <w:r w:rsidR="00F3327F">
              <w:rPr>
                <w:noProof/>
              </w:rPr>
              <w:tab/>
            </w:r>
            <w:r w:rsidR="00F3327F" w:rsidRPr="00A26983">
              <w:rPr>
                <w:rStyle w:val="Hyperlink"/>
                <w:noProof/>
                <w:lang w:val="en-GB"/>
              </w:rPr>
              <w:t>Estrogens</w:t>
            </w:r>
            <w:r w:rsidR="00F3327F">
              <w:rPr>
                <w:noProof/>
                <w:webHidden/>
              </w:rPr>
              <w:tab/>
            </w:r>
            <w:r w:rsidR="00F3327F">
              <w:rPr>
                <w:noProof/>
                <w:webHidden/>
              </w:rPr>
              <w:fldChar w:fldCharType="begin"/>
            </w:r>
            <w:r w:rsidR="00F3327F">
              <w:rPr>
                <w:noProof/>
                <w:webHidden/>
              </w:rPr>
              <w:instrText xml:space="preserve"> PAGEREF _Toc451961479 \h </w:instrText>
            </w:r>
            <w:r w:rsidR="00F3327F">
              <w:rPr>
                <w:noProof/>
                <w:webHidden/>
              </w:rPr>
            </w:r>
            <w:r w:rsidR="00F3327F">
              <w:rPr>
                <w:noProof/>
                <w:webHidden/>
              </w:rPr>
              <w:fldChar w:fldCharType="separate"/>
            </w:r>
            <w:r w:rsidR="00BC2743">
              <w:rPr>
                <w:noProof/>
                <w:webHidden/>
              </w:rPr>
              <w:t>3</w:t>
            </w:r>
            <w:r w:rsidR="00F3327F">
              <w:rPr>
                <w:noProof/>
                <w:webHidden/>
              </w:rPr>
              <w:fldChar w:fldCharType="end"/>
            </w:r>
          </w:hyperlink>
        </w:p>
        <w:p w14:paraId="1B7FF698" w14:textId="16B8E3C5" w:rsidR="00F3327F" w:rsidRDefault="00892229">
          <w:pPr>
            <w:pStyle w:val="Inhopg3"/>
            <w:tabs>
              <w:tab w:val="left" w:pos="880"/>
              <w:tab w:val="right" w:leader="dot" w:pos="9062"/>
            </w:tabs>
            <w:rPr>
              <w:noProof/>
            </w:rPr>
          </w:pPr>
          <w:hyperlink w:anchor="_Toc451961480" w:history="1">
            <w:r w:rsidR="00F3327F" w:rsidRPr="00A26983">
              <w:rPr>
                <w:rStyle w:val="Hyperlink"/>
                <w:noProof/>
                <w:lang w:val="en-GB"/>
              </w:rPr>
              <w:t>b)</w:t>
            </w:r>
            <w:r w:rsidR="00F3327F">
              <w:rPr>
                <w:noProof/>
              </w:rPr>
              <w:tab/>
            </w:r>
            <w:r w:rsidR="00F3327F" w:rsidRPr="00A26983">
              <w:rPr>
                <w:rStyle w:val="Hyperlink"/>
                <w:noProof/>
                <w:lang w:val="en-GB"/>
              </w:rPr>
              <w:t>Androgens</w:t>
            </w:r>
            <w:r w:rsidR="00F3327F">
              <w:rPr>
                <w:noProof/>
                <w:webHidden/>
              </w:rPr>
              <w:tab/>
            </w:r>
            <w:r w:rsidR="00F3327F">
              <w:rPr>
                <w:noProof/>
                <w:webHidden/>
              </w:rPr>
              <w:fldChar w:fldCharType="begin"/>
            </w:r>
            <w:r w:rsidR="00F3327F">
              <w:rPr>
                <w:noProof/>
                <w:webHidden/>
              </w:rPr>
              <w:instrText xml:space="preserve"> PAGEREF _Toc451961480 \h </w:instrText>
            </w:r>
            <w:r w:rsidR="00F3327F">
              <w:rPr>
                <w:noProof/>
                <w:webHidden/>
              </w:rPr>
            </w:r>
            <w:r w:rsidR="00F3327F">
              <w:rPr>
                <w:noProof/>
                <w:webHidden/>
              </w:rPr>
              <w:fldChar w:fldCharType="separate"/>
            </w:r>
            <w:r w:rsidR="00BC2743">
              <w:rPr>
                <w:noProof/>
                <w:webHidden/>
              </w:rPr>
              <w:t>3</w:t>
            </w:r>
            <w:r w:rsidR="00F3327F">
              <w:rPr>
                <w:noProof/>
                <w:webHidden/>
              </w:rPr>
              <w:fldChar w:fldCharType="end"/>
            </w:r>
          </w:hyperlink>
        </w:p>
        <w:p w14:paraId="1723D447" w14:textId="7309773E" w:rsidR="00F3327F" w:rsidRDefault="00892229">
          <w:pPr>
            <w:pStyle w:val="Inhopg1"/>
            <w:tabs>
              <w:tab w:val="left" w:pos="440"/>
              <w:tab w:val="right" w:leader="dot" w:pos="9062"/>
            </w:tabs>
            <w:rPr>
              <w:noProof/>
            </w:rPr>
          </w:pPr>
          <w:hyperlink w:anchor="_Toc451961481" w:history="1">
            <w:r w:rsidR="00F3327F" w:rsidRPr="00A26983">
              <w:rPr>
                <w:rStyle w:val="Hyperlink"/>
                <w:noProof/>
                <w:lang w:val="en-GB"/>
              </w:rPr>
              <w:t>II.</w:t>
            </w:r>
            <w:r w:rsidR="00F3327F">
              <w:rPr>
                <w:noProof/>
              </w:rPr>
              <w:tab/>
            </w:r>
            <w:r w:rsidR="00F3327F" w:rsidRPr="00A26983">
              <w:rPr>
                <w:rStyle w:val="Hyperlink"/>
                <w:noProof/>
                <w:lang w:val="en-GB"/>
              </w:rPr>
              <w:t>Goals of the research</w:t>
            </w:r>
            <w:r w:rsidR="00F3327F">
              <w:rPr>
                <w:noProof/>
                <w:webHidden/>
              </w:rPr>
              <w:tab/>
            </w:r>
            <w:r w:rsidR="00F3327F">
              <w:rPr>
                <w:noProof/>
                <w:webHidden/>
              </w:rPr>
              <w:fldChar w:fldCharType="begin"/>
            </w:r>
            <w:r w:rsidR="00F3327F">
              <w:rPr>
                <w:noProof/>
                <w:webHidden/>
              </w:rPr>
              <w:instrText xml:space="preserve"> PAGEREF _Toc451961481 \h </w:instrText>
            </w:r>
            <w:r w:rsidR="00F3327F">
              <w:rPr>
                <w:noProof/>
                <w:webHidden/>
              </w:rPr>
            </w:r>
            <w:r w:rsidR="00F3327F">
              <w:rPr>
                <w:noProof/>
                <w:webHidden/>
              </w:rPr>
              <w:fldChar w:fldCharType="separate"/>
            </w:r>
            <w:r w:rsidR="00BC2743">
              <w:rPr>
                <w:noProof/>
                <w:webHidden/>
              </w:rPr>
              <w:t>5</w:t>
            </w:r>
            <w:r w:rsidR="00F3327F">
              <w:rPr>
                <w:noProof/>
                <w:webHidden/>
              </w:rPr>
              <w:fldChar w:fldCharType="end"/>
            </w:r>
          </w:hyperlink>
        </w:p>
        <w:p w14:paraId="54935DF7" w14:textId="55C40D91" w:rsidR="00F3327F" w:rsidRDefault="00892229">
          <w:pPr>
            <w:pStyle w:val="Inhopg1"/>
            <w:tabs>
              <w:tab w:val="left" w:pos="660"/>
              <w:tab w:val="right" w:leader="dot" w:pos="9062"/>
            </w:tabs>
            <w:rPr>
              <w:noProof/>
            </w:rPr>
          </w:pPr>
          <w:hyperlink w:anchor="_Toc451961482" w:history="1">
            <w:r w:rsidR="00F3327F" w:rsidRPr="00A26983">
              <w:rPr>
                <w:rStyle w:val="Hyperlink"/>
                <w:noProof/>
                <w:lang w:val="en-GB"/>
              </w:rPr>
              <w:t>III.</w:t>
            </w:r>
            <w:r w:rsidR="00F3327F">
              <w:rPr>
                <w:noProof/>
              </w:rPr>
              <w:tab/>
            </w:r>
            <w:r w:rsidR="00F3327F" w:rsidRPr="00A26983">
              <w:rPr>
                <w:rStyle w:val="Hyperlink"/>
                <w:noProof/>
                <w:lang w:val="en-GB"/>
              </w:rPr>
              <w:t>Material and methods</w:t>
            </w:r>
            <w:r w:rsidR="00F3327F">
              <w:rPr>
                <w:noProof/>
                <w:webHidden/>
              </w:rPr>
              <w:tab/>
            </w:r>
            <w:r w:rsidR="00F3327F">
              <w:rPr>
                <w:noProof/>
                <w:webHidden/>
              </w:rPr>
              <w:fldChar w:fldCharType="begin"/>
            </w:r>
            <w:r w:rsidR="00F3327F">
              <w:rPr>
                <w:noProof/>
                <w:webHidden/>
              </w:rPr>
              <w:instrText xml:space="preserve"> PAGEREF _Toc451961482 \h </w:instrText>
            </w:r>
            <w:r w:rsidR="00F3327F">
              <w:rPr>
                <w:noProof/>
                <w:webHidden/>
              </w:rPr>
            </w:r>
            <w:r w:rsidR="00F3327F">
              <w:rPr>
                <w:noProof/>
                <w:webHidden/>
              </w:rPr>
              <w:fldChar w:fldCharType="separate"/>
            </w:r>
            <w:r w:rsidR="00BC2743">
              <w:rPr>
                <w:noProof/>
                <w:webHidden/>
              </w:rPr>
              <w:t>6</w:t>
            </w:r>
            <w:r w:rsidR="00F3327F">
              <w:rPr>
                <w:noProof/>
                <w:webHidden/>
              </w:rPr>
              <w:fldChar w:fldCharType="end"/>
            </w:r>
          </w:hyperlink>
        </w:p>
        <w:p w14:paraId="3488B315" w14:textId="600A344E" w:rsidR="00F3327F" w:rsidRDefault="00892229">
          <w:pPr>
            <w:pStyle w:val="Inhopg2"/>
            <w:tabs>
              <w:tab w:val="left" w:pos="660"/>
              <w:tab w:val="right" w:leader="dot" w:pos="9062"/>
            </w:tabs>
            <w:rPr>
              <w:noProof/>
            </w:rPr>
          </w:pPr>
          <w:hyperlink w:anchor="_Toc451961483" w:history="1">
            <w:r w:rsidR="00F3327F" w:rsidRPr="00A26983">
              <w:rPr>
                <w:rStyle w:val="Hyperlink"/>
                <w:noProof/>
                <w:lang w:val="en-GB"/>
                <w14:scene3d>
                  <w14:camera w14:prst="orthographicFront"/>
                  <w14:lightRig w14:rig="threePt" w14:dir="t">
                    <w14:rot w14:lat="0" w14:lon="0" w14:rev="0"/>
                  </w14:lightRig>
                </w14:scene3d>
              </w:rPr>
              <w:t>1.</w:t>
            </w:r>
            <w:r w:rsidR="00F3327F">
              <w:rPr>
                <w:noProof/>
              </w:rPr>
              <w:tab/>
            </w:r>
            <w:r w:rsidR="00F3327F" w:rsidRPr="00A26983">
              <w:rPr>
                <w:rStyle w:val="Hyperlink"/>
                <w:noProof/>
                <w:lang w:val="en-GB"/>
              </w:rPr>
              <w:t>General</w:t>
            </w:r>
            <w:r w:rsidR="00F3327F">
              <w:rPr>
                <w:noProof/>
                <w:webHidden/>
              </w:rPr>
              <w:tab/>
            </w:r>
            <w:r w:rsidR="00F3327F">
              <w:rPr>
                <w:noProof/>
                <w:webHidden/>
              </w:rPr>
              <w:fldChar w:fldCharType="begin"/>
            </w:r>
            <w:r w:rsidR="00F3327F">
              <w:rPr>
                <w:noProof/>
                <w:webHidden/>
              </w:rPr>
              <w:instrText xml:space="preserve"> PAGEREF _Toc451961483 \h </w:instrText>
            </w:r>
            <w:r w:rsidR="00F3327F">
              <w:rPr>
                <w:noProof/>
                <w:webHidden/>
              </w:rPr>
            </w:r>
            <w:r w:rsidR="00F3327F">
              <w:rPr>
                <w:noProof/>
                <w:webHidden/>
              </w:rPr>
              <w:fldChar w:fldCharType="separate"/>
            </w:r>
            <w:r w:rsidR="00BC2743">
              <w:rPr>
                <w:noProof/>
                <w:webHidden/>
              </w:rPr>
              <w:t>6</w:t>
            </w:r>
            <w:r w:rsidR="00F3327F">
              <w:rPr>
                <w:noProof/>
                <w:webHidden/>
              </w:rPr>
              <w:fldChar w:fldCharType="end"/>
            </w:r>
          </w:hyperlink>
        </w:p>
        <w:p w14:paraId="7B4B0B1C" w14:textId="5616CC8B" w:rsidR="00F3327F" w:rsidRDefault="00892229">
          <w:pPr>
            <w:pStyle w:val="Inhopg3"/>
            <w:tabs>
              <w:tab w:val="left" w:pos="880"/>
              <w:tab w:val="right" w:leader="dot" w:pos="9062"/>
            </w:tabs>
            <w:rPr>
              <w:noProof/>
            </w:rPr>
          </w:pPr>
          <w:hyperlink w:anchor="_Toc451961484" w:history="1">
            <w:r w:rsidR="00F3327F" w:rsidRPr="00A26983">
              <w:rPr>
                <w:rStyle w:val="Hyperlink"/>
                <w:noProof/>
                <w:lang w:val="en-GB"/>
              </w:rPr>
              <w:t>a)</w:t>
            </w:r>
            <w:r w:rsidR="00F3327F">
              <w:rPr>
                <w:noProof/>
              </w:rPr>
              <w:tab/>
            </w:r>
            <w:r w:rsidR="00F3327F" w:rsidRPr="00A26983">
              <w:rPr>
                <w:rStyle w:val="Hyperlink"/>
                <w:noProof/>
                <w:lang w:val="en-GB"/>
              </w:rPr>
              <w:t>Ethics</w:t>
            </w:r>
            <w:r w:rsidR="00F3327F">
              <w:rPr>
                <w:noProof/>
                <w:webHidden/>
              </w:rPr>
              <w:tab/>
            </w:r>
            <w:r w:rsidR="00F3327F">
              <w:rPr>
                <w:noProof/>
                <w:webHidden/>
              </w:rPr>
              <w:fldChar w:fldCharType="begin"/>
            </w:r>
            <w:r w:rsidR="00F3327F">
              <w:rPr>
                <w:noProof/>
                <w:webHidden/>
              </w:rPr>
              <w:instrText xml:space="preserve"> PAGEREF _Toc451961484 \h </w:instrText>
            </w:r>
            <w:r w:rsidR="00F3327F">
              <w:rPr>
                <w:noProof/>
                <w:webHidden/>
              </w:rPr>
            </w:r>
            <w:r w:rsidR="00F3327F">
              <w:rPr>
                <w:noProof/>
                <w:webHidden/>
              </w:rPr>
              <w:fldChar w:fldCharType="separate"/>
            </w:r>
            <w:r w:rsidR="00BC2743">
              <w:rPr>
                <w:noProof/>
                <w:webHidden/>
              </w:rPr>
              <w:t>6</w:t>
            </w:r>
            <w:r w:rsidR="00F3327F">
              <w:rPr>
                <w:noProof/>
                <w:webHidden/>
              </w:rPr>
              <w:fldChar w:fldCharType="end"/>
            </w:r>
          </w:hyperlink>
        </w:p>
        <w:p w14:paraId="08F63340" w14:textId="15AC596E" w:rsidR="00F3327F" w:rsidRDefault="00892229">
          <w:pPr>
            <w:pStyle w:val="Inhopg3"/>
            <w:tabs>
              <w:tab w:val="left" w:pos="880"/>
              <w:tab w:val="right" w:leader="dot" w:pos="9062"/>
            </w:tabs>
            <w:rPr>
              <w:noProof/>
            </w:rPr>
          </w:pPr>
          <w:hyperlink w:anchor="_Toc451961485" w:history="1">
            <w:r w:rsidR="00F3327F" w:rsidRPr="00A26983">
              <w:rPr>
                <w:rStyle w:val="Hyperlink"/>
                <w:noProof/>
                <w:lang w:val="en-GB"/>
              </w:rPr>
              <w:t>b)</w:t>
            </w:r>
            <w:r w:rsidR="00F3327F">
              <w:rPr>
                <w:noProof/>
              </w:rPr>
              <w:tab/>
            </w:r>
            <w:r w:rsidR="00F3327F" w:rsidRPr="00A26983">
              <w:rPr>
                <w:rStyle w:val="Hyperlink"/>
                <w:noProof/>
                <w:lang w:val="en-GB"/>
              </w:rPr>
              <w:t>Diagnosis</w:t>
            </w:r>
            <w:r w:rsidR="00F3327F">
              <w:rPr>
                <w:noProof/>
                <w:webHidden/>
              </w:rPr>
              <w:tab/>
            </w:r>
            <w:r w:rsidR="00F3327F">
              <w:rPr>
                <w:noProof/>
                <w:webHidden/>
              </w:rPr>
              <w:fldChar w:fldCharType="begin"/>
            </w:r>
            <w:r w:rsidR="00F3327F">
              <w:rPr>
                <w:noProof/>
                <w:webHidden/>
              </w:rPr>
              <w:instrText xml:space="preserve"> PAGEREF _Toc451961485 \h </w:instrText>
            </w:r>
            <w:r w:rsidR="00F3327F">
              <w:rPr>
                <w:noProof/>
                <w:webHidden/>
              </w:rPr>
            </w:r>
            <w:r w:rsidR="00F3327F">
              <w:rPr>
                <w:noProof/>
                <w:webHidden/>
              </w:rPr>
              <w:fldChar w:fldCharType="separate"/>
            </w:r>
            <w:r w:rsidR="00BC2743">
              <w:rPr>
                <w:noProof/>
                <w:webHidden/>
              </w:rPr>
              <w:t>6</w:t>
            </w:r>
            <w:r w:rsidR="00F3327F">
              <w:rPr>
                <w:noProof/>
                <w:webHidden/>
              </w:rPr>
              <w:fldChar w:fldCharType="end"/>
            </w:r>
          </w:hyperlink>
        </w:p>
        <w:p w14:paraId="6818DE50" w14:textId="748479AA" w:rsidR="00F3327F" w:rsidRDefault="00892229">
          <w:pPr>
            <w:pStyle w:val="Inhopg2"/>
            <w:tabs>
              <w:tab w:val="left" w:pos="660"/>
              <w:tab w:val="right" w:leader="dot" w:pos="9062"/>
            </w:tabs>
            <w:rPr>
              <w:noProof/>
            </w:rPr>
          </w:pPr>
          <w:hyperlink w:anchor="_Toc451961486" w:history="1">
            <w:r w:rsidR="00F3327F" w:rsidRPr="00A26983">
              <w:rPr>
                <w:rStyle w:val="Hyperlink"/>
                <w:noProof/>
                <w:lang w:val="en-GB"/>
                <w14:scene3d>
                  <w14:camera w14:prst="orthographicFront"/>
                  <w14:lightRig w14:rig="threePt" w14:dir="t">
                    <w14:rot w14:lat="0" w14:lon="0" w14:rev="0"/>
                  </w14:lightRig>
                </w14:scene3d>
              </w:rPr>
              <w:t>2.</w:t>
            </w:r>
            <w:r w:rsidR="00F3327F">
              <w:rPr>
                <w:noProof/>
              </w:rPr>
              <w:tab/>
            </w:r>
            <w:r w:rsidR="00F3327F" w:rsidRPr="00A26983">
              <w:rPr>
                <w:rStyle w:val="Hyperlink"/>
                <w:noProof/>
                <w:lang w:val="en-GB"/>
              </w:rPr>
              <w:t>Part one and two</w:t>
            </w:r>
            <w:r w:rsidR="00F3327F">
              <w:rPr>
                <w:noProof/>
                <w:webHidden/>
              </w:rPr>
              <w:tab/>
            </w:r>
            <w:r w:rsidR="00F3327F">
              <w:rPr>
                <w:noProof/>
                <w:webHidden/>
              </w:rPr>
              <w:fldChar w:fldCharType="begin"/>
            </w:r>
            <w:r w:rsidR="00F3327F">
              <w:rPr>
                <w:noProof/>
                <w:webHidden/>
              </w:rPr>
              <w:instrText xml:space="preserve"> PAGEREF _Toc451961486 \h </w:instrText>
            </w:r>
            <w:r w:rsidR="00F3327F">
              <w:rPr>
                <w:noProof/>
                <w:webHidden/>
              </w:rPr>
            </w:r>
            <w:r w:rsidR="00F3327F">
              <w:rPr>
                <w:noProof/>
                <w:webHidden/>
              </w:rPr>
              <w:fldChar w:fldCharType="separate"/>
            </w:r>
            <w:r w:rsidR="00BC2743">
              <w:rPr>
                <w:noProof/>
                <w:webHidden/>
              </w:rPr>
              <w:t>6</w:t>
            </w:r>
            <w:r w:rsidR="00F3327F">
              <w:rPr>
                <w:noProof/>
                <w:webHidden/>
              </w:rPr>
              <w:fldChar w:fldCharType="end"/>
            </w:r>
          </w:hyperlink>
        </w:p>
        <w:p w14:paraId="1D158885" w14:textId="3D54724E" w:rsidR="00F3327F" w:rsidRDefault="00892229">
          <w:pPr>
            <w:pStyle w:val="Inhopg3"/>
            <w:tabs>
              <w:tab w:val="left" w:pos="880"/>
              <w:tab w:val="right" w:leader="dot" w:pos="9062"/>
            </w:tabs>
            <w:rPr>
              <w:noProof/>
            </w:rPr>
          </w:pPr>
          <w:hyperlink w:anchor="_Toc451961487" w:history="1">
            <w:r w:rsidR="00F3327F" w:rsidRPr="00A26983">
              <w:rPr>
                <w:rStyle w:val="Hyperlink"/>
                <w:noProof/>
                <w:lang w:val="en-GB"/>
              </w:rPr>
              <w:t>a)</w:t>
            </w:r>
            <w:r w:rsidR="00F3327F">
              <w:rPr>
                <w:noProof/>
              </w:rPr>
              <w:tab/>
            </w:r>
            <w:r w:rsidR="00F3327F" w:rsidRPr="00A26983">
              <w:rPr>
                <w:rStyle w:val="Hyperlink"/>
                <w:noProof/>
                <w:lang w:val="en-GB"/>
              </w:rPr>
              <w:t>FtM transgender adolescents: patients</w:t>
            </w:r>
            <w:r w:rsidR="00F3327F">
              <w:rPr>
                <w:noProof/>
                <w:webHidden/>
              </w:rPr>
              <w:tab/>
            </w:r>
            <w:r w:rsidR="00F3327F">
              <w:rPr>
                <w:noProof/>
                <w:webHidden/>
              </w:rPr>
              <w:fldChar w:fldCharType="begin"/>
            </w:r>
            <w:r w:rsidR="00F3327F">
              <w:rPr>
                <w:noProof/>
                <w:webHidden/>
              </w:rPr>
              <w:instrText xml:space="preserve"> PAGEREF _Toc451961487 \h </w:instrText>
            </w:r>
            <w:r w:rsidR="00F3327F">
              <w:rPr>
                <w:noProof/>
                <w:webHidden/>
              </w:rPr>
            </w:r>
            <w:r w:rsidR="00F3327F">
              <w:rPr>
                <w:noProof/>
                <w:webHidden/>
              </w:rPr>
              <w:fldChar w:fldCharType="separate"/>
            </w:r>
            <w:r w:rsidR="00BC2743">
              <w:rPr>
                <w:noProof/>
                <w:webHidden/>
              </w:rPr>
              <w:t>6</w:t>
            </w:r>
            <w:r w:rsidR="00F3327F">
              <w:rPr>
                <w:noProof/>
                <w:webHidden/>
              </w:rPr>
              <w:fldChar w:fldCharType="end"/>
            </w:r>
          </w:hyperlink>
        </w:p>
        <w:p w14:paraId="5E23078B" w14:textId="25AC0B9E" w:rsidR="00F3327F" w:rsidRDefault="00892229">
          <w:pPr>
            <w:pStyle w:val="Inhopg3"/>
            <w:tabs>
              <w:tab w:val="left" w:pos="880"/>
              <w:tab w:val="right" w:leader="dot" w:pos="9062"/>
            </w:tabs>
            <w:rPr>
              <w:noProof/>
            </w:rPr>
          </w:pPr>
          <w:hyperlink w:anchor="_Toc451961488" w:history="1">
            <w:r w:rsidR="00F3327F" w:rsidRPr="00A26983">
              <w:rPr>
                <w:rStyle w:val="Hyperlink"/>
                <w:noProof/>
                <w:lang w:val="en-GB"/>
              </w:rPr>
              <w:t>b)</w:t>
            </w:r>
            <w:r w:rsidR="00F3327F">
              <w:rPr>
                <w:noProof/>
              </w:rPr>
              <w:tab/>
            </w:r>
            <w:r w:rsidR="00F3327F" w:rsidRPr="00A26983">
              <w:rPr>
                <w:rStyle w:val="Hyperlink"/>
                <w:noProof/>
                <w:lang w:val="en-GB"/>
              </w:rPr>
              <w:t>MtF transgender adolescents: patients</w:t>
            </w:r>
            <w:r w:rsidR="00F3327F">
              <w:rPr>
                <w:noProof/>
                <w:webHidden/>
              </w:rPr>
              <w:tab/>
            </w:r>
            <w:r w:rsidR="00F3327F">
              <w:rPr>
                <w:noProof/>
                <w:webHidden/>
              </w:rPr>
              <w:fldChar w:fldCharType="begin"/>
            </w:r>
            <w:r w:rsidR="00F3327F">
              <w:rPr>
                <w:noProof/>
                <w:webHidden/>
              </w:rPr>
              <w:instrText xml:space="preserve"> PAGEREF _Toc451961488 \h </w:instrText>
            </w:r>
            <w:r w:rsidR="00F3327F">
              <w:rPr>
                <w:noProof/>
                <w:webHidden/>
              </w:rPr>
            </w:r>
            <w:r w:rsidR="00F3327F">
              <w:rPr>
                <w:noProof/>
                <w:webHidden/>
              </w:rPr>
              <w:fldChar w:fldCharType="separate"/>
            </w:r>
            <w:r w:rsidR="00BC2743">
              <w:rPr>
                <w:noProof/>
                <w:webHidden/>
              </w:rPr>
              <w:t>6</w:t>
            </w:r>
            <w:r w:rsidR="00F3327F">
              <w:rPr>
                <w:noProof/>
                <w:webHidden/>
              </w:rPr>
              <w:fldChar w:fldCharType="end"/>
            </w:r>
          </w:hyperlink>
        </w:p>
        <w:p w14:paraId="00E5464D" w14:textId="2AE46588" w:rsidR="00F3327F" w:rsidRDefault="00892229">
          <w:pPr>
            <w:pStyle w:val="Inhopg3"/>
            <w:tabs>
              <w:tab w:val="left" w:pos="880"/>
              <w:tab w:val="right" w:leader="dot" w:pos="9062"/>
            </w:tabs>
            <w:rPr>
              <w:noProof/>
            </w:rPr>
          </w:pPr>
          <w:hyperlink w:anchor="_Toc451961489" w:history="1">
            <w:r w:rsidR="00F3327F" w:rsidRPr="00A26983">
              <w:rPr>
                <w:rStyle w:val="Hyperlink"/>
                <w:noProof/>
                <w:lang w:val="en-GB"/>
              </w:rPr>
              <w:t>c)</w:t>
            </w:r>
            <w:r w:rsidR="00F3327F">
              <w:rPr>
                <w:noProof/>
              </w:rPr>
              <w:tab/>
            </w:r>
            <w:r w:rsidR="00F3327F" w:rsidRPr="00A26983">
              <w:rPr>
                <w:rStyle w:val="Hyperlink"/>
                <w:noProof/>
                <w:lang w:val="en-GB"/>
              </w:rPr>
              <w:t>Methods</w:t>
            </w:r>
            <w:r w:rsidR="00F3327F">
              <w:rPr>
                <w:noProof/>
                <w:webHidden/>
              </w:rPr>
              <w:tab/>
            </w:r>
            <w:r w:rsidR="00F3327F">
              <w:rPr>
                <w:noProof/>
                <w:webHidden/>
              </w:rPr>
              <w:fldChar w:fldCharType="begin"/>
            </w:r>
            <w:r w:rsidR="00F3327F">
              <w:rPr>
                <w:noProof/>
                <w:webHidden/>
              </w:rPr>
              <w:instrText xml:space="preserve"> PAGEREF _Toc451961489 \h </w:instrText>
            </w:r>
            <w:r w:rsidR="00F3327F">
              <w:rPr>
                <w:noProof/>
                <w:webHidden/>
              </w:rPr>
            </w:r>
            <w:r w:rsidR="00F3327F">
              <w:rPr>
                <w:noProof/>
                <w:webHidden/>
              </w:rPr>
              <w:fldChar w:fldCharType="separate"/>
            </w:r>
            <w:r w:rsidR="00BC2743">
              <w:rPr>
                <w:noProof/>
                <w:webHidden/>
              </w:rPr>
              <w:t>7</w:t>
            </w:r>
            <w:r w:rsidR="00F3327F">
              <w:rPr>
                <w:noProof/>
                <w:webHidden/>
              </w:rPr>
              <w:fldChar w:fldCharType="end"/>
            </w:r>
          </w:hyperlink>
        </w:p>
        <w:p w14:paraId="76C6B38A" w14:textId="09455BCA" w:rsidR="00F3327F" w:rsidRDefault="00892229">
          <w:pPr>
            <w:pStyle w:val="Inhopg2"/>
            <w:tabs>
              <w:tab w:val="left" w:pos="660"/>
              <w:tab w:val="right" w:leader="dot" w:pos="9062"/>
            </w:tabs>
            <w:rPr>
              <w:noProof/>
            </w:rPr>
          </w:pPr>
          <w:hyperlink w:anchor="_Toc451961490" w:history="1">
            <w:r w:rsidR="00F3327F" w:rsidRPr="00A26983">
              <w:rPr>
                <w:rStyle w:val="Hyperlink"/>
                <w:noProof/>
                <w:lang w:val="en-GB"/>
                <w14:scene3d>
                  <w14:camera w14:prst="orthographicFront"/>
                  <w14:lightRig w14:rig="threePt" w14:dir="t">
                    <w14:rot w14:lat="0" w14:lon="0" w14:rev="0"/>
                  </w14:lightRig>
                </w14:scene3d>
              </w:rPr>
              <w:t>3.</w:t>
            </w:r>
            <w:r w:rsidR="00F3327F">
              <w:rPr>
                <w:noProof/>
              </w:rPr>
              <w:tab/>
            </w:r>
            <w:r w:rsidR="00F3327F" w:rsidRPr="00A26983">
              <w:rPr>
                <w:rStyle w:val="Hyperlink"/>
                <w:noProof/>
                <w:lang w:val="en-GB"/>
              </w:rPr>
              <w:t>Part three</w:t>
            </w:r>
            <w:r w:rsidR="00F3327F">
              <w:rPr>
                <w:noProof/>
                <w:webHidden/>
              </w:rPr>
              <w:tab/>
            </w:r>
            <w:r w:rsidR="00F3327F">
              <w:rPr>
                <w:noProof/>
                <w:webHidden/>
              </w:rPr>
              <w:fldChar w:fldCharType="begin"/>
            </w:r>
            <w:r w:rsidR="00F3327F">
              <w:rPr>
                <w:noProof/>
                <w:webHidden/>
              </w:rPr>
              <w:instrText xml:space="preserve"> PAGEREF _Toc451961490 \h </w:instrText>
            </w:r>
            <w:r w:rsidR="00F3327F">
              <w:rPr>
                <w:noProof/>
                <w:webHidden/>
              </w:rPr>
            </w:r>
            <w:r w:rsidR="00F3327F">
              <w:rPr>
                <w:noProof/>
                <w:webHidden/>
              </w:rPr>
              <w:fldChar w:fldCharType="separate"/>
            </w:r>
            <w:r w:rsidR="00BC2743">
              <w:rPr>
                <w:noProof/>
                <w:webHidden/>
              </w:rPr>
              <w:t>10</w:t>
            </w:r>
            <w:r w:rsidR="00F3327F">
              <w:rPr>
                <w:noProof/>
                <w:webHidden/>
              </w:rPr>
              <w:fldChar w:fldCharType="end"/>
            </w:r>
          </w:hyperlink>
        </w:p>
        <w:p w14:paraId="3FE29E7C" w14:textId="3CC44302" w:rsidR="00F3327F" w:rsidRDefault="00892229">
          <w:pPr>
            <w:pStyle w:val="Inhopg3"/>
            <w:tabs>
              <w:tab w:val="left" w:pos="880"/>
              <w:tab w:val="right" w:leader="dot" w:pos="9062"/>
            </w:tabs>
            <w:rPr>
              <w:noProof/>
            </w:rPr>
          </w:pPr>
          <w:hyperlink w:anchor="_Toc451961491" w:history="1">
            <w:r w:rsidR="00F3327F" w:rsidRPr="00A26983">
              <w:rPr>
                <w:rStyle w:val="Hyperlink"/>
                <w:noProof/>
                <w:lang w:val="en-GB"/>
              </w:rPr>
              <w:t>a)</w:t>
            </w:r>
            <w:r w:rsidR="00F3327F">
              <w:rPr>
                <w:noProof/>
              </w:rPr>
              <w:tab/>
            </w:r>
            <w:r w:rsidR="00F3327F" w:rsidRPr="00A26983">
              <w:rPr>
                <w:rStyle w:val="Hyperlink"/>
                <w:noProof/>
                <w:lang w:val="en-GB"/>
              </w:rPr>
              <w:t>Patients</w:t>
            </w:r>
            <w:r w:rsidR="00F3327F">
              <w:rPr>
                <w:noProof/>
                <w:webHidden/>
              </w:rPr>
              <w:tab/>
            </w:r>
            <w:r w:rsidR="00F3327F">
              <w:rPr>
                <w:noProof/>
                <w:webHidden/>
              </w:rPr>
              <w:fldChar w:fldCharType="begin"/>
            </w:r>
            <w:r w:rsidR="00F3327F">
              <w:rPr>
                <w:noProof/>
                <w:webHidden/>
              </w:rPr>
              <w:instrText xml:space="preserve"> PAGEREF _Toc451961491 \h </w:instrText>
            </w:r>
            <w:r w:rsidR="00F3327F">
              <w:rPr>
                <w:noProof/>
                <w:webHidden/>
              </w:rPr>
            </w:r>
            <w:r w:rsidR="00F3327F">
              <w:rPr>
                <w:noProof/>
                <w:webHidden/>
              </w:rPr>
              <w:fldChar w:fldCharType="separate"/>
            </w:r>
            <w:r w:rsidR="00BC2743">
              <w:rPr>
                <w:noProof/>
                <w:webHidden/>
              </w:rPr>
              <w:t>10</w:t>
            </w:r>
            <w:r w:rsidR="00F3327F">
              <w:rPr>
                <w:noProof/>
                <w:webHidden/>
              </w:rPr>
              <w:fldChar w:fldCharType="end"/>
            </w:r>
          </w:hyperlink>
        </w:p>
        <w:p w14:paraId="73E6C8E5" w14:textId="778ADE78" w:rsidR="00F3327F" w:rsidRDefault="00892229">
          <w:pPr>
            <w:pStyle w:val="Inhopg3"/>
            <w:tabs>
              <w:tab w:val="left" w:pos="880"/>
              <w:tab w:val="right" w:leader="dot" w:pos="9062"/>
            </w:tabs>
            <w:rPr>
              <w:noProof/>
            </w:rPr>
          </w:pPr>
          <w:hyperlink w:anchor="_Toc451961492" w:history="1">
            <w:r w:rsidR="00F3327F" w:rsidRPr="00A26983">
              <w:rPr>
                <w:rStyle w:val="Hyperlink"/>
                <w:noProof/>
                <w:lang w:val="en-GB"/>
              </w:rPr>
              <w:t>b)</w:t>
            </w:r>
            <w:r w:rsidR="00F3327F">
              <w:rPr>
                <w:noProof/>
              </w:rPr>
              <w:tab/>
            </w:r>
            <w:r w:rsidR="00F3327F" w:rsidRPr="00A26983">
              <w:rPr>
                <w:rStyle w:val="Hyperlink"/>
                <w:noProof/>
                <w:lang w:val="en-GB"/>
              </w:rPr>
              <w:t>Methods</w:t>
            </w:r>
            <w:r w:rsidR="00F3327F">
              <w:rPr>
                <w:noProof/>
                <w:webHidden/>
              </w:rPr>
              <w:tab/>
            </w:r>
            <w:r w:rsidR="00F3327F">
              <w:rPr>
                <w:noProof/>
                <w:webHidden/>
              </w:rPr>
              <w:fldChar w:fldCharType="begin"/>
            </w:r>
            <w:r w:rsidR="00F3327F">
              <w:rPr>
                <w:noProof/>
                <w:webHidden/>
              </w:rPr>
              <w:instrText xml:space="preserve"> PAGEREF _Toc451961492 \h </w:instrText>
            </w:r>
            <w:r w:rsidR="00F3327F">
              <w:rPr>
                <w:noProof/>
                <w:webHidden/>
              </w:rPr>
            </w:r>
            <w:r w:rsidR="00F3327F">
              <w:rPr>
                <w:noProof/>
                <w:webHidden/>
              </w:rPr>
              <w:fldChar w:fldCharType="separate"/>
            </w:r>
            <w:r w:rsidR="00BC2743">
              <w:rPr>
                <w:noProof/>
                <w:webHidden/>
              </w:rPr>
              <w:t>10</w:t>
            </w:r>
            <w:r w:rsidR="00F3327F">
              <w:rPr>
                <w:noProof/>
                <w:webHidden/>
              </w:rPr>
              <w:fldChar w:fldCharType="end"/>
            </w:r>
          </w:hyperlink>
        </w:p>
        <w:p w14:paraId="77B5EED3" w14:textId="13775708" w:rsidR="00F3327F" w:rsidRDefault="00892229">
          <w:pPr>
            <w:pStyle w:val="Inhopg1"/>
            <w:tabs>
              <w:tab w:val="left" w:pos="660"/>
              <w:tab w:val="right" w:leader="dot" w:pos="9062"/>
            </w:tabs>
            <w:rPr>
              <w:noProof/>
            </w:rPr>
          </w:pPr>
          <w:hyperlink w:anchor="_Toc451961493" w:history="1">
            <w:r w:rsidR="00F3327F" w:rsidRPr="00A26983">
              <w:rPr>
                <w:rStyle w:val="Hyperlink"/>
                <w:noProof/>
                <w:lang w:val="en-GB"/>
              </w:rPr>
              <w:t>IV.</w:t>
            </w:r>
            <w:r w:rsidR="00F3327F">
              <w:rPr>
                <w:noProof/>
              </w:rPr>
              <w:tab/>
            </w:r>
            <w:r w:rsidR="00F3327F" w:rsidRPr="00A26983">
              <w:rPr>
                <w:rStyle w:val="Hyperlink"/>
                <w:noProof/>
                <w:lang w:val="en-GB"/>
              </w:rPr>
              <w:t>Results</w:t>
            </w:r>
            <w:r w:rsidR="00F3327F">
              <w:rPr>
                <w:noProof/>
                <w:webHidden/>
              </w:rPr>
              <w:tab/>
            </w:r>
            <w:r w:rsidR="00F3327F">
              <w:rPr>
                <w:noProof/>
                <w:webHidden/>
              </w:rPr>
              <w:fldChar w:fldCharType="begin"/>
            </w:r>
            <w:r w:rsidR="00F3327F">
              <w:rPr>
                <w:noProof/>
                <w:webHidden/>
              </w:rPr>
              <w:instrText xml:space="preserve"> PAGEREF _Toc451961493 \h </w:instrText>
            </w:r>
            <w:r w:rsidR="00F3327F">
              <w:rPr>
                <w:noProof/>
                <w:webHidden/>
              </w:rPr>
            </w:r>
            <w:r w:rsidR="00F3327F">
              <w:rPr>
                <w:noProof/>
                <w:webHidden/>
              </w:rPr>
              <w:fldChar w:fldCharType="separate"/>
            </w:r>
            <w:r w:rsidR="00BC2743">
              <w:rPr>
                <w:noProof/>
                <w:webHidden/>
              </w:rPr>
              <w:t>12</w:t>
            </w:r>
            <w:r w:rsidR="00F3327F">
              <w:rPr>
                <w:noProof/>
                <w:webHidden/>
              </w:rPr>
              <w:fldChar w:fldCharType="end"/>
            </w:r>
          </w:hyperlink>
        </w:p>
        <w:p w14:paraId="19981BC0" w14:textId="4C42FDE3" w:rsidR="00F3327F" w:rsidRDefault="00892229">
          <w:pPr>
            <w:pStyle w:val="Inhopg2"/>
            <w:tabs>
              <w:tab w:val="left" w:pos="660"/>
              <w:tab w:val="right" w:leader="dot" w:pos="9062"/>
            </w:tabs>
            <w:rPr>
              <w:noProof/>
            </w:rPr>
          </w:pPr>
          <w:hyperlink w:anchor="_Toc451961494" w:history="1">
            <w:r w:rsidR="00F3327F" w:rsidRPr="00A26983">
              <w:rPr>
                <w:rStyle w:val="Hyperlink"/>
                <w:noProof/>
                <w:lang w:val="en-US"/>
                <w14:scene3d>
                  <w14:camera w14:prst="orthographicFront"/>
                  <w14:lightRig w14:rig="threePt" w14:dir="t">
                    <w14:rot w14:lat="0" w14:lon="0" w14:rev="0"/>
                  </w14:lightRig>
                </w14:scene3d>
              </w:rPr>
              <w:t>1.</w:t>
            </w:r>
            <w:r w:rsidR="00F3327F">
              <w:rPr>
                <w:noProof/>
              </w:rPr>
              <w:tab/>
            </w:r>
            <w:r w:rsidR="00F3327F" w:rsidRPr="00A26983">
              <w:rPr>
                <w:rStyle w:val="Hyperlink"/>
                <w:noProof/>
                <w:lang w:val="en-GB"/>
              </w:rPr>
              <w:t>Lynestrenol in Female to Male</w:t>
            </w:r>
            <w:r w:rsidR="00F3327F" w:rsidRPr="00A26983">
              <w:rPr>
                <w:rStyle w:val="Hyperlink"/>
                <w:noProof/>
                <w:lang w:val="en-US"/>
              </w:rPr>
              <w:t xml:space="preserve"> adolescents</w:t>
            </w:r>
            <w:r w:rsidR="00F3327F">
              <w:rPr>
                <w:noProof/>
                <w:webHidden/>
              </w:rPr>
              <w:tab/>
            </w:r>
            <w:r w:rsidR="00F3327F">
              <w:rPr>
                <w:noProof/>
                <w:webHidden/>
              </w:rPr>
              <w:fldChar w:fldCharType="begin"/>
            </w:r>
            <w:r w:rsidR="00F3327F">
              <w:rPr>
                <w:noProof/>
                <w:webHidden/>
              </w:rPr>
              <w:instrText xml:space="preserve"> PAGEREF _Toc451961494 \h </w:instrText>
            </w:r>
            <w:r w:rsidR="00F3327F">
              <w:rPr>
                <w:noProof/>
                <w:webHidden/>
              </w:rPr>
            </w:r>
            <w:r w:rsidR="00F3327F">
              <w:rPr>
                <w:noProof/>
                <w:webHidden/>
              </w:rPr>
              <w:fldChar w:fldCharType="separate"/>
            </w:r>
            <w:r w:rsidR="00BC2743">
              <w:rPr>
                <w:noProof/>
                <w:webHidden/>
              </w:rPr>
              <w:t>12</w:t>
            </w:r>
            <w:r w:rsidR="00F3327F">
              <w:rPr>
                <w:noProof/>
                <w:webHidden/>
              </w:rPr>
              <w:fldChar w:fldCharType="end"/>
            </w:r>
          </w:hyperlink>
        </w:p>
        <w:p w14:paraId="7B6D5B67" w14:textId="06894320" w:rsidR="00F3327F" w:rsidRDefault="00892229">
          <w:pPr>
            <w:pStyle w:val="Inhopg3"/>
            <w:tabs>
              <w:tab w:val="left" w:pos="880"/>
              <w:tab w:val="right" w:leader="dot" w:pos="9062"/>
            </w:tabs>
            <w:rPr>
              <w:noProof/>
            </w:rPr>
          </w:pPr>
          <w:hyperlink w:anchor="_Toc451961495" w:history="1">
            <w:r w:rsidR="00F3327F" w:rsidRPr="00A26983">
              <w:rPr>
                <w:rStyle w:val="Hyperlink"/>
                <w:noProof/>
                <w:lang w:val="en-GB"/>
              </w:rPr>
              <w:t>a)</w:t>
            </w:r>
            <w:r w:rsidR="00F3327F">
              <w:rPr>
                <w:noProof/>
              </w:rPr>
              <w:tab/>
            </w:r>
            <w:r w:rsidR="00F3327F" w:rsidRPr="00A26983">
              <w:rPr>
                <w:rStyle w:val="Hyperlink"/>
                <w:noProof/>
                <w:lang w:val="en-GB"/>
              </w:rPr>
              <w:t>Patient and treatment characteristics</w:t>
            </w:r>
            <w:r w:rsidR="00F3327F">
              <w:rPr>
                <w:noProof/>
                <w:webHidden/>
              </w:rPr>
              <w:tab/>
            </w:r>
            <w:r w:rsidR="00F3327F">
              <w:rPr>
                <w:noProof/>
                <w:webHidden/>
              </w:rPr>
              <w:fldChar w:fldCharType="begin"/>
            </w:r>
            <w:r w:rsidR="00F3327F">
              <w:rPr>
                <w:noProof/>
                <w:webHidden/>
              </w:rPr>
              <w:instrText xml:space="preserve"> PAGEREF _Toc451961495 \h </w:instrText>
            </w:r>
            <w:r w:rsidR="00F3327F">
              <w:rPr>
                <w:noProof/>
                <w:webHidden/>
              </w:rPr>
            </w:r>
            <w:r w:rsidR="00F3327F">
              <w:rPr>
                <w:noProof/>
                <w:webHidden/>
              </w:rPr>
              <w:fldChar w:fldCharType="separate"/>
            </w:r>
            <w:r w:rsidR="00BC2743">
              <w:rPr>
                <w:noProof/>
                <w:webHidden/>
              </w:rPr>
              <w:t>12</w:t>
            </w:r>
            <w:r w:rsidR="00F3327F">
              <w:rPr>
                <w:noProof/>
                <w:webHidden/>
              </w:rPr>
              <w:fldChar w:fldCharType="end"/>
            </w:r>
          </w:hyperlink>
        </w:p>
        <w:p w14:paraId="2D5889A3" w14:textId="00907D74" w:rsidR="00F3327F" w:rsidRDefault="00892229">
          <w:pPr>
            <w:pStyle w:val="Inhopg3"/>
            <w:tabs>
              <w:tab w:val="left" w:pos="880"/>
              <w:tab w:val="right" w:leader="dot" w:pos="9062"/>
            </w:tabs>
            <w:rPr>
              <w:noProof/>
            </w:rPr>
          </w:pPr>
          <w:hyperlink w:anchor="_Toc451961496" w:history="1">
            <w:r w:rsidR="00F3327F" w:rsidRPr="00A26983">
              <w:rPr>
                <w:rStyle w:val="Hyperlink"/>
                <w:noProof/>
                <w:lang w:val="en-GB"/>
              </w:rPr>
              <w:t>b)</w:t>
            </w:r>
            <w:r w:rsidR="00F3327F">
              <w:rPr>
                <w:noProof/>
              </w:rPr>
              <w:tab/>
            </w:r>
            <w:r w:rsidR="00F3327F" w:rsidRPr="00A26983">
              <w:rPr>
                <w:rStyle w:val="Hyperlink"/>
                <w:noProof/>
                <w:lang w:val="en-GB"/>
              </w:rPr>
              <w:t>Side effects</w:t>
            </w:r>
            <w:r w:rsidR="00F3327F">
              <w:rPr>
                <w:noProof/>
                <w:webHidden/>
              </w:rPr>
              <w:tab/>
            </w:r>
            <w:r w:rsidR="00F3327F">
              <w:rPr>
                <w:noProof/>
                <w:webHidden/>
              </w:rPr>
              <w:fldChar w:fldCharType="begin"/>
            </w:r>
            <w:r w:rsidR="00F3327F">
              <w:rPr>
                <w:noProof/>
                <w:webHidden/>
              </w:rPr>
              <w:instrText xml:space="preserve"> PAGEREF _Toc451961496 \h </w:instrText>
            </w:r>
            <w:r w:rsidR="00F3327F">
              <w:rPr>
                <w:noProof/>
                <w:webHidden/>
              </w:rPr>
            </w:r>
            <w:r w:rsidR="00F3327F">
              <w:rPr>
                <w:noProof/>
                <w:webHidden/>
              </w:rPr>
              <w:fldChar w:fldCharType="separate"/>
            </w:r>
            <w:r w:rsidR="00BC2743">
              <w:rPr>
                <w:noProof/>
                <w:webHidden/>
              </w:rPr>
              <w:t>12</w:t>
            </w:r>
            <w:r w:rsidR="00F3327F">
              <w:rPr>
                <w:noProof/>
                <w:webHidden/>
              </w:rPr>
              <w:fldChar w:fldCharType="end"/>
            </w:r>
          </w:hyperlink>
        </w:p>
        <w:p w14:paraId="38A4F893" w14:textId="4ED10F37" w:rsidR="00F3327F" w:rsidRDefault="00892229">
          <w:pPr>
            <w:pStyle w:val="Inhopg3"/>
            <w:tabs>
              <w:tab w:val="left" w:pos="880"/>
              <w:tab w:val="right" w:leader="dot" w:pos="9062"/>
            </w:tabs>
            <w:rPr>
              <w:noProof/>
            </w:rPr>
          </w:pPr>
          <w:hyperlink w:anchor="_Toc451961497" w:history="1">
            <w:r w:rsidR="00F3327F" w:rsidRPr="00A26983">
              <w:rPr>
                <w:rStyle w:val="Hyperlink"/>
                <w:noProof/>
                <w:lang w:val="en-GB"/>
              </w:rPr>
              <w:t>c)</w:t>
            </w:r>
            <w:r w:rsidR="00F3327F">
              <w:rPr>
                <w:noProof/>
              </w:rPr>
              <w:tab/>
            </w:r>
            <w:r w:rsidR="00F3327F" w:rsidRPr="00A26983">
              <w:rPr>
                <w:rStyle w:val="Hyperlink"/>
                <w:noProof/>
                <w:lang w:val="en-GB"/>
              </w:rPr>
              <w:t>Anthropometry</w:t>
            </w:r>
            <w:r w:rsidR="00F3327F">
              <w:rPr>
                <w:noProof/>
                <w:webHidden/>
              </w:rPr>
              <w:tab/>
            </w:r>
            <w:r w:rsidR="00F3327F">
              <w:rPr>
                <w:noProof/>
                <w:webHidden/>
              </w:rPr>
              <w:fldChar w:fldCharType="begin"/>
            </w:r>
            <w:r w:rsidR="00F3327F">
              <w:rPr>
                <w:noProof/>
                <w:webHidden/>
              </w:rPr>
              <w:instrText xml:space="preserve"> PAGEREF _Toc451961497 \h </w:instrText>
            </w:r>
            <w:r w:rsidR="00F3327F">
              <w:rPr>
                <w:noProof/>
                <w:webHidden/>
              </w:rPr>
            </w:r>
            <w:r w:rsidR="00F3327F">
              <w:rPr>
                <w:noProof/>
                <w:webHidden/>
              </w:rPr>
              <w:fldChar w:fldCharType="separate"/>
            </w:r>
            <w:r w:rsidR="00BC2743">
              <w:rPr>
                <w:noProof/>
                <w:webHidden/>
              </w:rPr>
              <w:t>12</w:t>
            </w:r>
            <w:r w:rsidR="00F3327F">
              <w:rPr>
                <w:noProof/>
                <w:webHidden/>
              </w:rPr>
              <w:fldChar w:fldCharType="end"/>
            </w:r>
          </w:hyperlink>
        </w:p>
        <w:p w14:paraId="2BE0E862" w14:textId="7F3AE32A" w:rsidR="00F3327F" w:rsidRDefault="00892229">
          <w:pPr>
            <w:pStyle w:val="Inhopg3"/>
            <w:tabs>
              <w:tab w:val="left" w:pos="880"/>
              <w:tab w:val="right" w:leader="dot" w:pos="9062"/>
            </w:tabs>
            <w:rPr>
              <w:noProof/>
            </w:rPr>
          </w:pPr>
          <w:hyperlink w:anchor="_Toc451961498" w:history="1">
            <w:r w:rsidR="00F3327F" w:rsidRPr="00A26983">
              <w:rPr>
                <w:rStyle w:val="Hyperlink"/>
                <w:noProof/>
                <w:lang w:val="en-GB"/>
              </w:rPr>
              <w:t>d)</w:t>
            </w:r>
            <w:r w:rsidR="00F3327F">
              <w:rPr>
                <w:noProof/>
              </w:rPr>
              <w:tab/>
            </w:r>
            <w:r w:rsidR="00F3327F" w:rsidRPr="00A26983">
              <w:rPr>
                <w:rStyle w:val="Hyperlink"/>
                <w:noProof/>
                <w:lang w:val="en-GB"/>
              </w:rPr>
              <w:t>Biochemical analyses</w:t>
            </w:r>
            <w:r w:rsidR="00F3327F">
              <w:rPr>
                <w:noProof/>
                <w:webHidden/>
              </w:rPr>
              <w:tab/>
            </w:r>
            <w:r w:rsidR="00F3327F">
              <w:rPr>
                <w:noProof/>
                <w:webHidden/>
              </w:rPr>
              <w:fldChar w:fldCharType="begin"/>
            </w:r>
            <w:r w:rsidR="00F3327F">
              <w:rPr>
                <w:noProof/>
                <w:webHidden/>
              </w:rPr>
              <w:instrText xml:space="preserve"> PAGEREF _Toc451961498 \h </w:instrText>
            </w:r>
            <w:r w:rsidR="00F3327F">
              <w:rPr>
                <w:noProof/>
                <w:webHidden/>
              </w:rPr>
            </w:r>
            <w:r w:rsidR="00F3327F">
              <w:rPr>
                <w:noProof/>
                <w:webHidden/>
              </w:rPr>
              <w:fldChar w:fldCharType="separate"/>
            </w:r>
            <w:r w:rsidR="00BC2743">
              <w:rPr>
                <w:noProof/>
                <w:webHidden/>
              </w:rPr>
              <w:t>13</w:t>
            </w:r>
            <w:r w:rsidR="00F3327F">
              <w:rPr>
                <w:noProof/>
                <w:webHidden/>
              </w:rPr>
              <w:fldChar w:fldCharType="end"/>
            </w:r>
          </w:hyperlink>
        </w:p>
        <w:p w14:paraId="6E3FCE4B" w14:textId="08444F92" w:rsidR="00F3327F" w:rsidRDefault="00892229">
          <w:pPr>
            <w:pStyle w:val="Inhopg2"/>
            <w:tabs>
              <w:tab w:val="left" w:pos="660"/>
              <w:tab w:val="right" w:leader="dot" w:pos="9062"/>
            </w:tabs>
            <w:rPr>
              <w:noProof/>
            </w:rPr>
          </w:pPr>
          <w:hyperlink w:anchor="_Toc451961499" w:history="1">
            <w:r w:rsidR="00F3327F" w:rsidRPr="00A26983">
              <w:rPr>
                <w:rStyle w:val="Hyperlink"/>
                <w:noProof/>
                <w:lang w:val="en-GB"/>
                <w14:scene3d>
                  <w14:camera w14:prst="orthographicFront"/>
                  <w14:lightRig w14:rig="threePt" w14:dir="t">
                    <w14:rot w14:lat="0" w14:lon="0" w14:rev="0"/>
                  </w14:lightRig>
                </w14:scene3d>
              </w:rPr>
              <w:t>2.</w:t>
            </w:r>
            <w:r w:rsidR="00F3327F">
              <w:rPr>
                <w:noProof/>
              </w:rPr>
              <w:tab/>
            </w:r>
            <w:r w:rsidR="00F3327F" w:rsidRPr="00A26983">
              <w:rPr>
                <w:rStyle w:val="Hyperlink"/>
                <w:noProof/>
                <w:lang w:val="en-GB"/>
              </w:rPr>
              <w:t>Cyproterone acetate in male to female adolescents</w:t>
            </w:r>
            <w:r w:rsidR="00F3327F">
              <w:rPr>
                <w:noProof/>
                <w:webHidden/>
              </w:rPr>
              <w:tab/>
            </w:r>
            <w:r w:rsidR="00F3327F">
              <w:rPr>
                <w:noProof/>
                <w:webHidden/>
              </w:rPr>
              <w:fldChar w:fldCharType="begin"/>
            </w:r>
            <w:r w:rsidR="00F3327F">
              <w:rPr>
                <w:noProof/>
                <w:webHidden/>
              </w:rPr>
              <w:instrText xml:space="preserve"> PAGEREF _Toc451961499 \h </w:instrText>
            </w:r>
            <w:r w:rsidR="00F3327F">
              <w:rPr>
                <w:noProof/>
                <w:webHidden/>
              </w:rPr>
            </w:r>
            <w:r w:rsidR="00F3327F">
              <w:rPr>
                <w:noProof/>
                <w:webHidden/>
              </w:rPr>
              <w:fldChar w:fldCharType="separate"/>
            </w:r>
            <w:r w:rsidR="00BC2743">
              <w:rPr>
                <w:noProof/>
                <w:webHidden/>
              </w:rPr>
              <w:t>19</w:t>
            </w:r>
            <w:r w:rsidR="00F3327F">
              <w:rPr>
                <w:noProof/>
                <w:webHidden/>
              </w:rPr>
              <w:fldChar w:fldCharType="end"/>
            </w:r>
          </w:hyperlink>
        </w:p>
        <w:p w14:paraId="20D9F328" w14:textId="7327E0F2" w:rsidR="00F3327F" w:rsidRDefault="00892229">
          <w:pPr>
            <w:pStyle w:val="Inhopg3"/>
            <w:tabs>
              <w:tab w:val="left" w:pos="880"/>
              <w:tab w:val="right" w:leader="dot" w:pos="9062"/>
            </w:tabs>
            <w:rPr>
              <w:noProof/>
            </w:rPr>
          </w:pPr>
          <w:hyperlink w:anchor="_Toc451961500" w:history="1">
            <w:r w:rsidR="00F3327F" w:rsidRPr="00A26983">
              <w:rPr>
                <w:rStyle w:val="Hyperlink"/>
                <w:noProof/>
                <w:lang w:val="en-GB"/>
              </w:rPr>
              <w:t>a)</w:t>
            </w:r>
            <w:r w:rsidR="00F3327F">
              <w:rPr>
                <w:noProof/>
              </w:rPr>
              <w:tab/>
            </w:r>
            <w:r w:rsidR="00F3327F" w:rsidRPr="00A26983">
              <w:rPr>
                <w:rStyle w:val="Hyperlink"/>
                <w:noProof/>
                <w:lang w:val="en-GB"/>
              </w:rPr>
              <w:t>Patients and treatment characteristics</w:t>
            </w:r>
            <w:r w:rsidR="00F3327F">
              <w:rPr>
                <w:noProof/>
                <w:webHidden/>
              </w:rPr>
              <w:tab/>
            </w:r>
            <w:r w:rsidR="00F3327F">
              <w:rPr>
                <w:noProof/>
                <w:webHidden/>
              </w:rPr>
              <w:fldChar w:fldCharType="begin"/>
            </w:r>
            <w:r w:rsidR="00F3327F">
              <w:rPr>
                <w:noProof/>
                <w:webHidden/>
              </w:rPr>
              <w:instrText xml:space="preserve"> PAGEREF _Toc451961500 \h </w:instrText>
            </w:r>
            <w:r w:rsidR="00F3327F">
              <w:rPr>
                <w:noProof/>
                <w:webHidden/>
              </w:rPr>
            </w:r>
            <w:r w:rsidR="00F3327F">
              <w:rPr>
                <w:noProof/>
                <w:webHidden/>
              </w:rPr>
              <w:fldChar w:fldCharType="separate"/>
            </w:r>
            <w:r w:rsidR="00BC2743">
              <w:rPr>
                <w:noProof/>
                <w:webHidden/>
              </w:rPr>
              <w:t>19</w:t>
            </w:r>
            <w:r w:rsidR="00F3327F">
              <w:rPr>
                <w:noProof/>
                <w:webHidden/>
              </w:rPr>
              <w:fldChar w:fldCharType="end"/>
            </w:r>
          </w:hyperlink>
        </w:p>
        <w:p w14:paraId="64520C30" w14:textId="43F224EC" w:rsidR="00F3327F" w:rsidRDefault="00892229">
          <w:pPr>
            <w:pStyle w:val="Inhopg3"/>
            <w:tabs>
              <w:tab w:val="left" w:pos="880"/>
              <w:tab w:val="right" w:leader="dot" w:pos="9062"/>
            </w:tabs>
            <w:rPr>
              <w:noProof/>
            </w:rPr>
          </w:pPr>
          <w:hyperlink w:anchor="_Toc451961501" w:history="1">
            <w:r w:rsidR="00F3327F" w:rsidRPr="00A26983">
              <w:rPr>
                <w:rStyle w:val="Hyperlink"/>
                <w:noProof/>
                <w:lang w:val="en-GB"/>
              </w:rPr>
              <w:t>b)</w:t>
            </w:r>
            <w:r w:rsidR="00F3327F">
              <w:rPr>
                <w:noProof/>
              </w:rPr>
              <w:tab/>
            </w:r>
            <w:r w:rsidR="00F3327F" w:rsidRPr="00A26983">
              <w:rPr>
                <w:rStyle w:val="Hyperlink"/>
                <w:noProof/>
                <w:lang w:val="en-GB"/>
              </w:rPr>
              <w:t>Side effects</w:t>
            </w:r>
            <w:r w:rsidR="00F3327F">
              <w:rPr>
                <w:noProof/>
                <w:webHidden/>
              </w:rPr>
              <w:tab/>
            </w:r>
            <w:r w:rsidR="00F3327F">
              <w:rPr>
                <w:noProof/>
                <w:webHidden/>
              </w:rPr>
              <w:fldChar w:fldCharType="begin"/>
            </w:r>
            <w:r w:rsidR="00F3327F">
              <w:rPr>
                <w:noProof/>
                <w:webHidden/>
              </w:rPr>
              <w:instrText xml:space="preserve"> PAGEREF _Toc451961501 \h </w:instrText>
            </w:r>
            <w:r w:rsidR="00F3327F">
              <w:rPr>
                <w:noProof/>
                <w:webHidden/>
              </w:rPr>
            </w:r>
            <w:r w:rsidR="00F3327F">
              <w:rPr>
                <w:noProof/>
                <w:webHidden/>
              </w:rPr>
              <w:fldChar w:fldCharType="separate"/>
            </w:r>
            <w:r w:rsidR="00BC2743">
              <w:rPr>
                <w:noProof/>
                <w:webHidden/>
              </w:rPr>
              <w:t>19</w:t>
            </w:r>
            <w:r w:rsidR="00F3327F">
              <w:rPr>
                <w:noProof/>
                <w:webHidden/>
              </w:rPr>
              <w:fldChar w:fldCharType="end"/>
            </w:r>
          </w:hyperlink>
        </w:p>
        <w:p w14:paraId="3AAA724B" w14:textId="1E15B17B" w:rsidR="00F3327F" w:rsidRDefault="00892229">
          <w:pPr>
            <w:pStyle w:val="Inhopg3"/>
            <w:tabs>
              <w:tab w:val="left" w:pos="880"/>
              <w:tab w:val="right" w:leader="dot" w:pos="9062"/>
            </w:tabs>
            <w:rPr>
              <w:noProof/>
            </w:rPr>
          </w:pPr>
          <w:hyperlink w:anchor="_Toc451961502" w:history="1">
            <w:r w:rsidR="00F3327F" w:rsidRPr="00A26983">
              <w:rPr>
                <w:rStyle w:val="Hyperlink"/>
                <w:noProof/>
                <w:lang w:val="en-GB"/>
              </w:rPr>
              <w:t>c)</w:t>
            </w:r>
            <w:r w:rsidR="00F3327F">
              <w:rPr>
                <w:noProof/>
              </w:rPr>
              <w:tab/>
            </w:r>
            <w:r w:rsidR="00F3327F" w:rsidRPr="00A26983">
              <w:rPr>
                <w:rStyle w:val="Hyperlink"/>
                <w:noProof/>
                <w:lang w:val="en-GB"/>
              </w:rPr>
              <w:t>Anthropometry</w:t>
            </w:r>
            <w:r w:rsidR="00F3327F">
              <w:rPr>
                <w:noProof/>
                <w:webHidden/>
              </w:rPr>
              <w:tab/>
            </w:r>
            <w:r w:rsidR="00F3327F">
              <w:rPr>
                <w:noProof/>
                <w:webHidden/>
              </w:rPr>
              <w:fldChar w:fldCharType="begin"/>
            </w:r>
            <w:r w:rsidR="00F3327F">
              <w:rPr>
                <w:noProof/>
                <w:webHidden/>
              </w:rPr>
              <w:instrText xml:space="preserve"> PAGEREF _Toc451961502 \h </w:instrText>
            </w:r>
            <w:r w:rsidR="00F3327F">
              <w:rPr>
                <w:noProof/>
                <w:webHidden/>
              </w:rPr>
            </w:r>
            <w:r w:rsidR="00F3327F">
              <w:rPr>
                <w:noProof/>
                <w:webHidden/>
              </w:rPr>
              <w:fldChar w:fldCharType="separate"/>
            </w:r>
            <w:r w:rsidR="00BC2743">
              <w:rPr>
                <w:noProof/>
                <w:webHidden/>
              </w:rPr>
              <w:t>19</w:t>
            </w:r>
            <w:r w:rsidR="00F3327F">
              <w:rPr>
                <w:noProof/>
                <w:webHidden/>
              </w:rPr>
              <w:fldChar w:fldCharType="end"/>
            </w:r>
          </w:hyperlink>
        </w:p>
        <w:p w14:paraId="37EF6D74" w14:textId="491187D0" w:rsidR="00F3327F" w:rsidRDefault="00892229">
          <w:pPr>
            <w:pStyle w:val="Inhopg3"/>
            <w:tabs>
              <w:tab w:val="left" w:pos="880"/>
              <w:tab w:val="right" w:leader="dot" w:pos="9062"/>
            </w:tabs>
            <w:rPr>
              <w:noProof/>
            </w:rPr>
          </w:pPr>
          <w:hyperlink w:anchor="_Toc451961503" w:history="1">
            <w:r w:rsidR="00F3327F" w:rsidRPr="00A26983">
              <w:rPr>
                <w:rStyle w:val="Hyperlink"/>
                <w:noProof/>
                <w:lang w:val="en-GB"/>
              </w:rPr>
              <w:t>d)</w:t>
            </w:r>
            <w:r w:rsidR="00F3327F">
              <w:rPr>
                <w:noProof/>
              </w:rPr>
              <w:tab/>
            </w:r>
            <w:r w:rsidR="00F3327F" w:rsidRPr="00A26983">
              <w:rPr>
                <w:rStyle w:val="Hyperlink"/>
                <w:noProof/>
                <w:lang w:val="en-GB"/>
              </w:rPr>
              <w:t>Biochemical analyses</w:t>
            </w:r>
            <w:r w:rsidR="00F3327F">
              <w:rPr>
                <w:noProof/>
                <w:webHidden/>
              </w:rPr>
              <w:tab/>
            </w:r>
            <w:r w:rsidR="00F3327F">
              <w:rPr>
                <w:noProof/>
                <w:webHidden/>
              </w:rPr>
              <w:fldChar w:fldCharType="begin"/>
            </w:r>
            <w:r w:rsidR="00F3327F">
              <w:rPr>
                <w:noProof/>
                <w:webHidden/>
              </w:rPr>
              <w:instrText xml:space="preserve"> PAGEREF _Toc451961503 \h </w:instrText>
            </w:r>
            <w:r w:rsidR="00F3327F">
              <w:rPr>
                <w:noProof/>
                <w:webHidden/>
              </w:rPr>
            </w:r>
            <w:r w:rsidR="00F3327F">
              <w:rPr>
                <w:noProof/>
                <w:webHidden/>
              </w:rPr>
              <w:fldChar w:fldCharType="separate"/>
            </w:r>
            <w:r w:rsidR="00BC2743">
              <w:rPr>
                <w:noProof/>
                <w:webHidden/>
              </w:rPr>
              <w:t>20</w:t>
            </w:r>
            <w:r w:rsidR="00F3327F">
              <w:rPr>
                <w:noProof/>
                <w:webHidden/>
              </w:rPr>
              <w:fldChar w:fldCharType="end"/>
            </w:r>
          </w:hyperlink>
        </w:p>
        <w:p w14:paraId="7746DC8B" w14:textId="0AFE3454" w:rsidR="00F3327F" w:rsidRDefault="00892229">
          <w:pPr>
            <w:pStyle w:val="Inhopg2"/>
            <w:tabs>
              <w:tab w:val="left" w:pos="660"/>
              <w:tab w:val="right" w:leader="dot" w:pos="9062"/>
            </w:tabs>
            <w:rPr>
              <w:noProof/>
            </w:rPr>
          </w:pPr>
          <w:hyperlink w:anchor="_Toc451961504" w:history="1">
            <w:r w:rsidR="00F3327F" w:rsidRPr="00A26983">
              <w:rPr>
                <w:rStyle w:val="Hyperlink"/>
                <w:noProof/>
                <w:lang w:val="en-GB"/>
                <w14:scene3d>
                  <w14:camera w14:prst="orthographicFront"/>
                  <w14:lightRig w14:rig="threePt" w14:dir="t">
                    <w14:rot w14:lat="0" w14:lon="0" w14:rev="0"/>
                  </w14:lightRig>
                </w14:scene3d>
              </w:rPr>
              <w:t>3.</w:t>
            </w:r>
            <w:r w:rsidR="00F3327F">
              <w:rPr>
                <w:noProof/>
              </w:rPr>
              <w:tab/>
            </w:r>
            <w:r w:rsidR="00F3327F" w:rsidRPr="00A26983">
              <w:rPr>
                <w:rStyle w:val="Hyperlink"/>
                <w:noProof/>
                <w:lang w:val="en-GB"/>
              </w:rPr>
              <w:t>Monotherapy of progestins on the musculoskeletal system</w:t>
            </w:r>
            <w:r w:rsidR="00F3327F">
              <w:rPr>
                <w:noProof/>
                <w:webHidden/>
              </w:rPr>
              <w:tab/>
            </w:r>
            <w:r w:rsidR="00F3327F">
              <w:rPr>
                <w:noProof/>
                <w:webHidden/>
              </w:rPr>
              <w:fldChar w:fldCharType="begin"/>
            </w:r>
            <w:r w:rsidR="00F3327F">
              <w:rPr>
                <w:noProof/>
                <w:webHidden/>
              </w:rPr>
              <w:instrText xml:space="preserve"> PAGEREF _Toc451961504 \h </w:instrText>
            </w:r>
            <w:r w:rsidR="00F3327F">
              <w:rPr>
                <w:noProof/>
                <w:webHidden/>
              </w:rPr>
            </w:r>
            <w:r w:rsidR="00F3327F">
              <w:rPr>
                <w:noProof/>
                <w:webHidden/>
              </w:rPr>
              <w:fldChar w:fldCharType="separate"/>
            </w:r>
            <w:r w:rsidR="00BC2743">
              <w:rPr>
                <w:noProof/>
                <w:webHidden/>
              </w:rPr>
              <w:t>26</w:t>
            </w:r>
            <w:r w:rsidR="00F3327F">
              <w:rPr>
                <w:noProof/>
                <w:webHidden/>
              </w:rPr>
              <w:fldChar w:fldCharType="end"/>
            </w:r>
          </w:hyperlink>
        </w:p>
        <w:p w14:paraId="7487C5CA" w14:textId="4C53308B" w:rsidR="00F3327F" w:rsidRDefault="00892229">
          <w:pPr>
            <w:pStyle w:val="Inhopg3"/>
            <w:tabs>
              <w:tab w:val="left" w:pos="880"/>
              <w:tab w:val="right" w:leader="dot" w:pos="9062"/>
            </w:tabs>
            <w:rPr>
              <w:noProof/>
            </w:rPr>
          </w:pPr>
          <w:hyperlink w:anchor="_Toc451961505" w:history="1">
            <w:r w:rsidR="00F3327F" w:rsidRPr="00A26983">
              <w:rPr>
                <w:rStyle w:val="Hyperlink"/>
                <w:noProof/>
                <w:lang w:val="en-US"/>
              </w:rPr>
              <w:t>a)</w:t>
            </w:r>
            <w:r w:rsidR="00F3327F">
              <w:rPr>
                <w:noProof/>
              </w:rPr>
              <w:tab/>
            </w:r>
            <w:r w:rsidR="00F3327F" w:rsidRPr="00A26983">
              <w:rPr>
                <w:rStyle w:val="Hyperlink"/>
                <w:noProof/>
                <w:lang w:val="en-US"/>
              </w:rPr>
              <w:t>Patients and treatment</w:t>
            </w:r>
            <w:r w:rsidR="00F3327F">
              <w:rPr>
                <w:noProof/>
                <w:webHidden/>
              </w:rPr>
              <w:tab/>
            </w:r>
            <w:r w:rsidR="00F3327F">
              <w:rPr>
                <w:noProof/>
                <w:webHidden/>
              </w:rPr>
              <w:fldChar w:fldCharType="begin"/>
            </w:r>
            <w:r w:rsidR="00F3327F">
              <w:rPr>
                <w:noProof/>
                <w:webHidden/>
              </w:rPr>
              <w:instrText xml:space="preserve"> PAGEREF _Toc451961505 \h </w:instrText>
            </w:r>
            <w:r w:rsidR="00F3327F">
              <w:rPr>
                <w:noProof/>
                <w:webHidden/>
              </w:rPr>
            </w:r>
            <w:r w:rsidR="00F3327F">
              <w:rPr>
                <w:noProof/>
                <w:webHidden/>
              </w:rPr>
              <w:fldChar w:fldCharType="separate"/>
            </w:r>
            <w:r w:rsidR="00BC2743">
              <w:rPr>
                <w:noProof/>
                <w:webHidden/>
              </w:rPr>
              <w:t>26</w:t>
            </w:r>
            <w:r w:rsidR="00F3327F">
              <w:rPr>
                <w:noProof/>
                <w:webHidden/>
              </w:rPr>
              <w:fldChar w:fldCharType="end"/>
            </w:r>
          </w:hyperlink>
        </w:p>
        <w:p w14:paraId="17BBDBFC" w14:textId="1D803FB4" w:rsidR="00F3327F" w:rsidRDefault="00892229">
          <w:pPr>
            <w:pStyle w:val="Inhopg3"/>
            <w:tabs>
              <w:tab w:val="left" w:pos="880"/>
              <w:tab w:val="right" w:leader="dot" w:pos="9062"/>
            </w:tabs>
            <w:rPr>
              <w:noProof/>
            </w:rPr>
          </w:pPr>
          <w:hyperlink w:anchor="_Toc451961506" w:history="1">
            <w:r w:rsidR="00F3327F" w:rsidRPr="00A26983">
              <w:rPr>
                <w:rStyle w:val="Hyperlink"/>
                <w:noProof/>
                <w:lang w:val="en-US"/>
              </w:rPr>
              <w:t>b)</w:t>
            </w:r>
            <w:r w:rsidR="00F3327F">
              <w:rPr>
                <w:noProof/>
              </w:rPr>
              <w:tab/>
            </w:r>
            <w:r w:rsidR="00F3327F" w:rsidRPr="00A26983">
              <w:rPr>
                <w:rStyle w:val="Hyperlink"/>
                <w:noProof/>
                <w:lang w:val="en-US"/>
              </w:rPr>
              <w:t>Biochemical data (Table 10)</w:t>
            </w:r>
            <w:r w:rsidR="00F3327F">
              <w:rPr>
                <w:noProof/>
                <w:webHidden/>
              </w:rPr>
              <w:tab/>
            </w:r>
            <w:r w:rsidR="00F3327F">
              <w:rPr>
                <w:noProof/>
                <w:webHidden/>
              </w:rPr>
              <w:fldChar w:fldCharType="begin"/>
            </w:r>
            <w:r w:rsidR="00F3327F">
              <w:rPr>
                <w:noProof/>
                <w:webHidden/>
              </w:rPr>
              <w:instrText xml:space="preserve"> PAGEREF _Toc451961506 \h </w:instrText>
            </w:r>
            <w:r w:rsidR="00F3327F">
              <w:rPr>
                <w:noProof/>
                <w:webHidden/>
              </w:rPr>
            </w:r>
            <w:r w:rsidR="00F3327F">
              <w:rPr>
                <w:noProof/>
                <w:webHidden/>
              </w:rPr>
              <w:fldChar w:fldCharType="separate"/>
            </w:r>
            <w:r w:rsidR="00BC2743">
              <w:rPr>
                <w:noProof/>
                <w:webHidden/>
              </w:rPr>
              <w:t>26</w:t>
            </w:r>
            <w:r w:rsidR="00F3327F">
              <w:rPr>
                <w:noProof/>
                <w:webHidden/>
              </w:rPr>
              <w:fldChar w:fldCharType="end"/>
            </w:r>
          </w:hyperlink>
        </w:p>
        <w:p w14:paraId="1CF300EE" w14:textId="351D6BC7" w:rsidR="00F3327F" w:rsidRDefault="00892229">
          <w:pPr>
            <w:pStyle w:val="Inhopg3"/>
            <w:tabs>
              <w:tab w:val="left" w:pos="880"/>
              <w:tab w:val="right" w:leader="dot" w:pos="9062"/>
            </w:tabs>
            <w:rPr>
              <w:noProof/>
            </w:rPr>
          </w:pPr>
          <w:hyperlink w:anchor="_Toc451961507" w:history="1">
            <w:r w:rsidR="00F3327F" w:rsidRPr="00A26983">
              <w:rPr>
                <w:rStyle w:val="Hyperlink"/>
                <w:noProof/>
                <w:lang w:val="en-GB"/>
              </w:rPr>
              <w:t>c)</w:t>
            </w:r>
            <w:r w:rsidR="00F3327F">
              <w:rPr>
                <w:noProof/>
              </w:rPr>
              <w:tab/>
            </w:r>
            <w:r w:rsidR="00F3327F" w:rsidRPr="00A26983">
              <w:rPr>
                <w:rStyle w:val="Hyperlink"/>
                <w:noProof/>
                <w:lang w:val="en-GB"/>
              </w:rPr>
              <w:t>Anthropometrics and grip strength (Table 11)</w:t>
            </w:r>
            <w:r w:rsidR="00F3327F">
              <w:rPr>
                <w:noProof/>
                <w:webHidden/>
              </w:rPr>
              <w:tab/>
            </w:r>
            <w:r w:rsidR="00F3327F">
              <w:rPr>
                <w:noProof/>
                <w:webHidden/>
              </w:rPr>
              <w:fldChar w:fldCharType="begin"/>
            </w:r>
            <w:r w:rsidR="00F3327F">
              <w:rPr>
                <w:noProof/>
                <w:webHidden/>
              </w:rPr>
              <w:instrText xml:space="preserve"> PAGEREF _Toc451961507 \h </w:instrText>
            </w:r>
            <w:r w:rsidR="00F3327F">
              <w:rPr>
                <w:noProof/>
                <w:webHidden/>
              </w:rPr>
            </w:r>
            <w:r w:rsidR="00F3327F">
              <w:rPr>
                <w:noProof/>
                <w:webHidden/>
              </w:rPr>
              <w:fldChar w:fldCharType="separate"/>
            </w:r>
            <w:r w:rsidR="00BC2743">
              <w:rPr>
                <w:noProof/>
                <w:webHidden/>
              </w:rPr>
              <w:t>26</w:t>
            </w:r>
            <w:r w:rsidR="00F3327F">
              <w:rPr>
                <w:noProof/>
                <w:webHidden/>
              </w:rPr>
              <w:fldChar w:fldCharType="end"/>
            </w:r>
          </w:hyperlink>
        </w:p>
        <w:p w14:paraId="31776EA6" w14:textId="105D8716" w:rsidR="00F3327F" w:rsidRDefault="00892229">
          <w:pPr>
            <w:pStyle w:val="Inhopg3"/>
            <w:tabs>
              <w:tab w:val="left" w:pos="880"/>
              <w:tab w:val="right" w:leader="dot" w:pos="9062"/>
            </w:tabs>
            <w:rPr>
              <w:noProof/>
            </w:rPr>
          </w:pPr>
          <w:hyperlink w:anchor="_Toc451961508" w:history="1">
            <w:r w:rsidR="00F3327F" w:rsidRPr="00A26983">
              <w:rPr>
                <w:rStyle w:val="Hyperlink"/>
                <w:noProof/>
                <w:lang w:val="en-GB"/>
              </w:rPr>
              <w:t>d)</w:t>
            </w:r>
            <w:r w:rsidR="00F3327F">
              <w:rPr>
                <w:noProof/>
              </w:rPr>
              <w:tab/>
            </w:r>
            <w:r w:rsidR="00F3327F" w:rsidRPr="00A26983">
              <w:rPr>
                <w:rStyle w:val="Hyperlink"/>
                <w:noProof/>
                <w:lang w:val="en-GB"/>
              </w:rPr>
              <w:t>Body composition (Table 12)</w:t>
            </w:r>
            <w:r w:rsidR="00F3327F">
              <w:rPr>
                <w:noProof/>
                <w:webHidden/>
              </w:rPr>
              <w:tab/>
            </w:r>
            <w:r w:rsidR="00F3327F">
              <w:rPr>
                <w:noProof/>
                <w:webHidden/>
              </w:rPr>
              <w:fldChar w:fldCharType="begin"/>
            </w:r>
            <w:r w:rsidR="00F3327F">
              <w:rPr>
                <w:noProof/>
                <w:webHidden/>
              </w:rPr>
              <w:instrText xml:space="preserve"> PAGEREF _Toc451961508 \h </w:instrText>
            </w:r>
            <w:r w:rsidR="00F3327F">
              <w:rPr>
                <w:noProof/>
                <w:webHidden/>
              </w:rPr>
            </w:r>
            <w:r w:rsidR="00F3327F">
              <w:rPr>
                <w:noProof/>
                <w:webHidden/>
              </w:rPr>
              <w:fldChar w:fldCharType="separate"/>
            </w:r>
            <w:r w:rsidR="00BC2743">
              <w:rPr>
                <w:noProof/>
                <w:webHidden/>
              </w:rPr>
              <w:t>27</w:t>
            </w:r>
            <w:r w:rsidR="00F3327F">
              <w:rPr>
                <w:noProof/>
                <w:webHidden/>
              </w:rPr>
              <w:fldChar w:fldCharType="end"/>
            </w:r>
          </w:hyperlink>
        </w:p>
        <w:p w14:paraId="4DDC9505" w14:textId="710D364E" w:rsidR="00F3327F" w:rsidRDefault="00892229">
          <w:pPr>
            <w:pStyle w:val="Inhopg3"/>
            <w:tabs>
              <w:tab w:val="left" w:pos="880"/>
              <w:tab w:val="right" w:leader="dot" w:pos="9062"/>
            </w:tabs>
            <w:rPr>
              <w:noProof/>
            </w:rPr>
          </w:pPr>
          <w:hyperlink w:anchor="_Toc451961509" w:history="1">
            <w:r w:rsidR="00F3327F" w:rsidRPr="00A26983">
              <w:rPr>
                <w:rStyle w:val="Hyperlink"/>
                <w:noProof/>
                <w:lang w:val="en-GB"/>
              </w:rPr>
              <w:t>e)</w:t>
            </w:r>
            <w:r w:rsidR="00F3327F">
              <w:rPr>
                <w:noProof/>
              </w:rPr>
              <w:tab/>
            </w:r>
            <w:r w:rsidR="00F3327F" w:rsidRPr="00A26983">
              <w:rPr>
                <w:rStyle w:val="Hyperlink"/>
                <w:noProof/>
                <w:lang w:val="en-GB"/>
              </w:rPr>
              <w:t>Bone development: DXA results (Table 13)</w:t>
            </w:r>
            <w:r w:rsidR="00F3327F">
              <w:rPr>
                <w:noProof/>
                <w:webHidden/>
              </w:rPr>
              <w:tab/>
            </w:r>
            <w:r w:rsidR="00F3327F">
              <w:rPr>
                <w:noProof/>
                <w:webHidden/>
              </w:rPr>
              <w:fldChar w:fldCharType="begin"/>
            </w:r>
            <w:r w:rsidR="00F3327F">
              <w:rPr>
                <w:noProof/>
                <w:webHidden/>
              </w:rPr>
              <w:instrText xml:space="preserve"> PAGEREF _Toc451961509 \h </w:instrText>
            </w:r>
            <w:r w:rsidR="00F3327F">
              <w:rPr>
                <w:noProof/>
                <w:webHidden/>
              </w:rPr>
            </w:r>
            <w:r w:rsidR="00F3327F">
              <w:rPr>
                <w:noProof/>
                <w:webHidden/>
              </w:rPr>
              <w:fldChar w:fldCharType="separate"/>
            </w:r>
            <w:r w:rsidR="00BC2743">
              <w:rPr>
                <w:noProof/>
                <w:webHidden/>
              </w:rPr>
              <w:t>28</w:t>
            </w:r>
            <w:r w:rsidR="00F3327F">
              <w:rPr>
                <w:noProof/>
                <w:webHidden/>
              </w:rPr>
              <w:fldChar w:fldCharType="end"/>
            </w:r>
          </w:hyperlink>
        </w:p>
        <w:p w14:paraId="224DBBEE" w14:textId="67328705" w:rsidR="00F3327F" w:rsidRDefault="00892229">
          <w:pPr>
            <w:pStyle w:val="Inhopg3"/>
            <w:tabs>
              <w:tab w:val="left" w:pos="880"/>
              <w:tab w:val="right" w:leader="dot" w:pos="9062"/>
            </w:tabs>
            <w:rPr>
              <w:noProof/>
            </w:rPr>
          </w:pPr>
          <w:hyperlink w:anchor="_Toc451961510" w:history="1">
            <w:r w:rsidR="00F3327F" w:rsidRPr="00A26983">
              <w:rPr>
                <w:rStyle w:val="Hyperlink"/>
                <w:noProof/>
                <w:lang w:val="en-GB"/>
              </w:rPr>
              <w:t>f)</w:t>
            </w:r>
            <w:r w:rsidR="00F3327F">
              <w:rPr>
                <w:noProof/>
              </w:rPr>
              <w:tab/>
            </w:r>
            <w:r w:rsidR="00F3327F" w:rsidRPr="00A26983">
              <w:rPr>
                <w:rStyle w:val="Hyperlink"/>
                <w:noProof/>
              </w:rPr>
              <w:t>Bone</w:t>
            </w:r>
            <w:r w:rsidR="00F3327F" w:rsidRPr="00A26983">
              <w:rPr>
                <w:rStyle w:val="Hyperlink"/>
                <w:noProof/>
                <w:lang w:val="en-GB"/>
              </w:rPr>
              <w:t xml:space="preserve"> development pQCT (Table 14)</w:t>
            </w:r>
            <w:r w:rsidR="00F3327F">
              <w:rPr>
                <w:noProof/>
                <w:webHidden/>
              </w:rPr>
              <w:tab/>
            </w:r>
            <w:r w:rsidR="00F3327F">
              <w:rPr>
                <w:noProof/>
                <w:webHidden/>
              </w:rPr>
              <w:fldChar w:fldCharType="begin"/>
            </w:r>
            <w:r w:rsidR="00F3327F">
              <w:rPr>
                <w:noProof/>
                <w:webHidden/>
              </w:rPr>
              <w:instrText xml:space="preserve"> PAGEREF _Toc451961510 \h </w:instrText>
            </w:r>
            <w:r w:rsidR="00F3327F">
              <w:rPr>
                <w:noProof/>
                <w:webHidden/>
              </w:rPr>
            </w:r>
            <w:r w:rsidR="00F3327F">
              <w:rPr>
                <w:noProof/>
                <w:webHidden/>
              </w:rPr>
              <w:fldChar w:fldCharType="separate"/>
            </w:r>
            <w:r w:rsidR="00BC2743">
              <w:rPr>
                <w:noProof/>
                <w:webHidden/>
              </w:rPr>
              <w:t>30</w:t>
            </w:r>
            <w:r w:rsidR="00F3327F">
              <w:rPr>
                <w:noProof/>
                <w:webHidden/>
              </w:rPr>
              <w:fldChar w:fldCharType="end"/>
            </w:r>
          </w:hyperlink>
        </w:p>
        <w:p w14:paraId="1B2F6E82" w14:textId="06D4F124" w:rsidR="00F3327F" w:rsidRDefault="00892229">
          <w:pPr>
            <w:pStyle w:val="Inhopg1"/>
            <w:tabs>
              <w:tab w:val="left" w:pos="440"/>
              <w:tab w:val="right" w:leader="dot" w:pos="9062"/>
            </w:tabs>
            <w:rPr>
              <w:noProof/>
            </w:rPr>
          </w:pPr>
          <w:hyperlink w:anchor="_Toc451961511" w:history="1">
            <w:r w:rsidR="00F3327F" w:rsidRPr="00A26983">
              <w:rPr>
                <w:rStyle w:val="Hyperlink"/>
                <w:noProof/>
                <w:lang w:val="en-US"/>
              </w:rPr>
              <w:t>V.</w:t>
            </w:r>
            <w:r w:rsidR="00F3327F">
              <w:rPr>
                <w:noProof/>
              </w:rPr>
              <w:tab/>
            </w:r>
            <w:r w:rsidR="00F3327F" w:rsidRPr="00A26983">
              <w:rPr>
                <w:rStyle w:val="Hyperlink"/>
                <w:noProof/>
                <w:lang w:val="en-US"/>
              </w:rPr>
              <w:t>Discussion</w:t>
            </w:r>
            <w:r w:rsidR="00F3327F">
              <w:rPr>
                <w:noProof/>
                <w:webHidden/>
              </w:rPr>
              <w:tab/>
            </w:r>
            <w:r w:rsidR="00F3327F">
              <w:rPr>
                <w:noProof/>
                <w:webHidden/>
              </w:rPr>
              <w:fldChar w:fldCharType="begin"/>
            </w:r>
            <w:r w:rsidR="00F3327F">
              <w:rPr>
                <w:noProof/>
                <w:webHidden/>
              </w:rPr>
              <w:instrText xml:space="preserve"> PAGEREF _Toc451961511 \h </w:instrText>
            </w:r>
            <w:r w:rsidR="00F3327F">
              <w:rPr>
                <w:noProof/>
                <w:webHidden/>
              </w:rPr>
            </w:r>
            <w:r w:rsidR="00F3327F">
              <w:rPr>
                <w:noProof/>
                <w:webHidden/>
              </w:rPr>
              <w:fldChar w:fldCharType="separate"/>
            </w:r>
            <w:r w:rsidR="00BC2743">
              <w:rPr>
                <w:noProof/>
                <w:webHidden/>
              </w:rPr>
              <w:t>32</w:t>
            </w:r>
            <w:r w:rsidR="00F3327F">
              <w:rPr>
                <w:noProof/>
                <w:webHidden/>
              </w:rPr>
              <w:fldChar w:fldCharType="end"/>
            </w:r>
          </w:hyperlink>
        </w:p>
        <w:p w14:paraId="05AF2AED" w14:textId="7FA889AE" w:rsidR="00F3327F" w:rsidRDefault="00892229">
          <w:pPr>
            <w:pStyle w:val="Inhopg2"/>
            <w:tabs>
              <w:tab w:val="left" w:pos="660"/>
              <w:tab w:val="right" w:leader="dot" w:pos="9062"/>
            </w:tabs>
            <w:rPr>
              <w:noProof/>
            </w:rPr>
          </w:pPr>
          <w:hyperlink w:anchor="_Toc451961512" w:history="1">
            <w:r w:rsidR="00F3327F" w:rsidRPr="00A26983">
              <w:rPr>
                <w:rStyle w:val="Hyperlink"/>
                <w:noProof/>
                <w:lang w:val="en-GB"/>
                <w14:scene3d>
                  <w14:camera w14:prst="orthographicFront"/>
                  <w14:lightRig w14:rig="threePt" w14:dir="t">
                    <w14:rot w14:lat="0" w14:lon="0" w14:rev="0"/>
                  </w14:lightRig>
                </w14:scene3d>
              </w:rPr>
              <w:t>1.</w:t>
            </w:r>
            <w:r w:rsidR="00F3327F">
              <w:rPr>
                <w:noProof/>
              </w:rPr>
              <w:tab/>
            </w:r>
            <w:r w:rsidR="00F3327F" w:rsidRPr="00A26983">
              <w:rPr>
                <w:rStyle w:val="Hyperlink"/>
                <w:noProof/>
                <w:lang w:val="en-GB"/>
              </w:rPr>
              <w:t>Lynestrenol in Female to Male transgender adolescents</w:t>
            </w:r>
            <w:r w:rsidR="00F3327F">
              <w:rPr>
                <w:noProof/>
                <w:webHidden/>
              </w:rPr>
              <w:tab/>
            </w:r>
            <w:r w:rsidR="00F3327F">
              <w:rPr>
                <w:noProof/>
                <w:webHidden/>
              </w:rPr>
              <w:fldChar w:fldCharType="begin"/>
            </w:r>
            <w:r w:rsidR="00F3327F">
              <w:rPr>
                <w:noProof/>
                <w:webHidden/>
              </w:rPr>
              <w:instrText xml:space="preserve"> PAGEREF _Toc451961512 \h </w:instrText>
            </w:r>
            <w:r w:rsidR="00F3327F">
              <w:rPr>
                <w:noProof/>
                <w:webHidden/>
              </w:rPr>
            </w:r>
            <w:r w:rsidR="00F3327F">
              <w:rPr>
                <w:noProof/>
                <w:webHidden/>
              </w:rPr>
              <w:fldChar w:fldCharType="separate"/>
            </w:r>
            <w:r w:rsidR="00BC2743">
              <w:rPr>
                <w:noProof/>
                <w:webHidden/>
              </w:rPr>
              <w:t>32</w:t>
            </w:r>
            <w:r w:rsidR="00F3327F">
              <w:rPr>
                <w:noProof/>
                <w:webHidden/>
              </w:rPr>
              <w:fldChar w:fldCharType="end"/>
            </w:r>
          </w:hyperlink>
        </w:p>
        <w:p w14:paraId="2C0E7454" w14:textId="25204641" w:rsidR="00F3327F" w:rsidRDefault="00892229">
          <w:pPr>
            <w:pStyle w:val="Inhopg3"/>
            <w:tabs>
              <w:tab w:val="left" w:pos="880"/>
              <w:tab w:val="right" w:leader="dot" w:pos="9062"/>
            </w:tabs>
            <w:rPr>
              <w:noProof/>
            </w:rPr>
          </w:pPr>
          <w:hyperlink w:anchor="_Toc451961513" w:history="1">
            <w:r w:rsidR="00F3327F" w:rsidRPr="00A26983">
              <w:rPr>
                <w:rStyle w:val="Hyperlink"/>
                <w:noProof/>
                <w:lang w:val="en-GB"/>
              </w:rPr>
              <w:t>a)</w:t>
            </w:r>
            <w:r w:rsidR="00F3327F">
              <w:rPr>
                <w:noProof/>
              </w:rPr>
              <w:tab/>
            </w:r>
            <w:r w:rsidR="00F3327F" w:rsidRPr="00A26983">
              <w:rPr>
                <w:rStyle w:val="Hyperlink"/>
                <w:noProof/>
                <w:lang w:val="en-GB"/>
              </w:rPr>
              <w:t>Patients</w:t>
            </w:r>
            <w:r w:rsidR="00F3327F">
              <w:rPr>
                <w:noProof/>
                <w:webHidden/>
              </w:rPr>
              <w:tab/>
            </w:r>
            <w:r w:rsidR="00F3327F">
              <w:rPr>
                <w:noProof/>
                <w:webHidden/>
              </w:rPr>
              <w:fldChar w:fldCharType="begin"/>
            </w:r>
            <w:r w:rsidR="00F3327F">
              <w:rPr>
                <w:noProof/>
                <w:webHidden/>
              </w:rPr>
              <w:instrText xml:space="preserve"> PAGEREF _Toc451961513 \h </w:instrText>
            </w:r>
            <w:r w:rsidR="00F3327F">
              <w:rPr>
                <w:noProof/>
                <w:webHidden/>
              </w:rPr>
            </w:r>
            <w:r w:rsidR="00F3327F">
              <w:rPr>
                <w:noProof/>
                <w:webHidden/>
              </w:rPr>
              <w:fldChar w:fldCharType="separate"/>
            </w:r>
            <w:r w:rsidR="00BC2743">
              <w:rPr>
                <w:noProof/>
                <w:webHidden/>
              </w:rPr>
              <w:t>32</w:t>
            </w:r>
            <w:r w:rsidR="00F3327F">
              <w:rPr>
                <w:noProof/>
                <w:webHidden/>
              </w:rPr>
              <w:fldChar w:fldCharType="end"/>
            </w:r>
          </w:hyperlink>
        </w:p>
        <w:p w14:paraId="41919721" w14:textId="7CC2B2D9" w:rsidR="00F3327F" w:rsidRDefault="00892229">
          <w:pPr>
            <w:pStyle w:val="Inhopg3"/>
            <w:tabs>
              <w:tab w:val="left" w:pos="880"/>
              <w:tab w:val="right" w:leader="dot" w:pos="9062"/>
            </w:tabs>
            <w:rPr>
              <w:noProof/>
            </w:rPr>
          </w:pPr>
          <w:hyperlink w:anchor="_Toc451961514" w:history="1">
            <w:r w:rsidR="00F3327F" w:rsidRPr="00A26983">
              <w:rPr>
                <w:rStyle w:val="Hyperlink"/>
                <w:noProof/>
                <w:lang w:val="en-GB"/>
              </w:rPr>
              <w:t>b)</w:t>
            </w:r>
            <w:r w:rsidR="00F3327F">
              <w:rPr>
                <w:noProof/>
              </w:rPr>
              <w:tab/>
            </w:r>
            <w:r w:rsidR="00F3327F" w:rsidRPr="00A26983">
              <w:rPr>
                <w:rStyle w:val="Hyperlink"/>
                <w:noProof/>
                <w:lang w:val="en-GB"/>
              </w:rPr>
              <w:t>Side effects</w:t>
            </w:r>
            <w:r w:rsidR="00F3327F">
              <w:rPr>
                <w:noProof/>
                <w:webHidden/>
              </w:rPr>
              <w:tab/>
            </w:r>
            <w:r w:rsidR="00F3327F">
              <w:rPr>
                <w:noProof/>
                <w:webHidden/>
              </w:rPr>
              <w:fldChar w:fldCharType="begin"/>
            </w:r>
            <w:r w:rsidR="00F3327F">
              <w:rPr>
                <w:noProof/>
                <w:webHidden/>
              </w:rPr>
              <w:instrText xml:space="preserve"> PAGEREF _Toc451961514 \h </w:instrText>
            </w:r>
            <w:r w:rsidR="00F3327F">
              <w:rPr>
                <w:noProof/>
                <w:webHidden/>
              </w:rPr>
            </w:r>
            <w:r w:rsidR="00F3327F">
              <w:rPr>
                <w:noProof/>
                <w:webHidden/>
              </w:rPr>
              <w:fldChar w:fldCharType="separate"/>
            </w:r>
            <w:r w:rsidR="00BC2743">
              <w:rPr>
                <w:noProof/>
                <w:webHidden/>
              </w:rPr>
              <w:t>32</w:t>
            </w:r>
            <w:r w:rsidR="00F3327F">
              <w:rPr>
                <w:noProof/>
                <w:webHidden/>
              </w:rPr>
              <w:fldChar w:fldCharType="end"/>
            </w:r>
          </w:hyperlink>
        </w:p>
        <w:p w14:paraId="095F93F3" w14:textId="3DF06EC2" w:rsidR="00F3327F" w:rsidRDefault="00892229">
          <w:pPr>
            <w:pStyle w:val="Inhopg3"/>
            <w:tabs>
              <w:tab w:val="left" w:pos="880"/>
              <w:tab w:val="right" w:leader="dot" w:pos="9062"/>
            </w:tabs>
            <w:rPr>
              <w:noProof/>
            </w:rPr>
          </w:pPr>
          <w:hyperlink w:anchor="_Toc451961515" w:history="1">
            <w:r w:rsidR="00F3327F" w:rsidRPr="00A26983">
              <w:rPr>
                <w:rStyle w:val="Hyperlink"/>
                <w:noProof/>
                <w:lang w:val="en-GB"/>
              </w:rPr>
              <w:t>c)</w:t>
            </w:r>
            <w:r w:rsidR="00F3327F">
              <w:rPr>
                <w:noProof/>
              </w:rPr>
              <w:tab/>
            </w:r>
            <w:r w:rsidR="00F3327F" w:rsidRPr="00A26983">
              <w:rPr>
                <w:rStyle w:val="Hyperlink"/>
                <w:noProof/>
                <w:lang w:val="en-GB"/>
              </w:rPr>
              <w:t>Anthropometrics</w:t>
            </w:r>
            <w:r w:rsidR="00F3327F">
              <w:rPr>
                <w:noProof/>
                <w:webHidden/>
              </w:rPr>
              <w:tab/>
            </w:r>
            <w:r w:rsidR="00F3327F">
              <w:rPr>
                <w:noProof/>
                <w:webHidden/>
              </w:rPr>
              <w:fldChar w:fldCharType="begin"/>
            </w:r>
            <w:r w:rsidR="00F3327F">
              <w:rPr>
                <w:noProof/>
                <w:webHidden/>
              </w:rPr>
              <w:instrText xml:space="preserve"> PAGEREF _Toc451961515 \h </w:instrText>
            </w:r>
            <w:r w:rsidR="00F3327F">
              <w:rPr>
                <w:noProof/>
                <w:webHidden/>
              </w:rPr>
            </w:r>
            <w:r w:rsidR="00F3327F">
              <w:rPr>
                <w:noProof/>
                <w:webHidden/>
              </w:rPr>
              <w:fldChar w:fldCharType="separate"/>
            </w:r>
            <w:r w:rsidR="00BC2743">
              <w:rPr>
                <w:noProof/>
                <w:webHidden/>
              </w:rPr>
              <w:t>32</w:t>
            </w:r>
            <w:r w:rsidR="00F3327F">
              <w:rPr>
                <w:noProof/>
                <w:webHidden/>
              </w:rPr>
              <w:fldChar w:fldCharType="end"/>
            </w:r>
          </w:hyperlink>
        </w:p>
        <w:p w14:paraId="32BB8547" w14:textId="646F9097" w:rsidR="00F3327F" w:rsidRDefault="00892229">
          <w:pPr>
            <w:pStyle w:val="Inhopg3"/>
            <w:tabs>
              <w:tab w:val="left" w:pos="880"/>
              <w:tab w:val="right" w:leader="dot" w:pos="9062"/>
            </w:tabs>
            <w:rPr>
              <w:noProof/>
            </w:rPr>
          </w:pPr>
          <w:hyperlink w:anchor="_Toc451961516" w:history="1">
            <w:r w:rsidR="00F3327F" w:rsidRPr="00A26983">
              <w:rPr>
                <w:rStyle w:val="Hyperlink"/>
                <w:noProof/>
                <w:lang w:val="en-GB"/>
              </w:rPr>
              <w:t>d)</w:t>
            </w:r>
            <w:r w:rsidR="00F3327F">
              <w:rPr>
                <w:noProof/>
              </w:rPr>
              <w:tab/>
            </w:r>
            <w:r w:rsidR="00F3327F" w:rsidRPr="00A26983">
              <w:rPr>
                <w:rStyle w:val="Hyperlink"/>
                <w:noProof/>
                <w:lang w:val="en-GB"/>
              </w:rPr>
              <w:t>Safety parameters</w:t>
            </w:r>
            <w:r w:rsidR="00F3327F">
              <w:rPr>
                <w:noProof/>
                <w:webHidden/>
              </w:rPr>
              <w:tab/>
            </w:r>
            <w:r w:rsidR="00F3327F">
              <w:rPr>
                <w:noProof/>
                <w:webHidden/>
              </w:rPr>
              <w:fldChar w:fldCharType="begin"/>
            </w:r>
            <w:r w:rsidR="00F3327F">
              <w:rPr>
                <w:noProof/>
                <w:webHidden/>
              </w:rPr>
              <w:instrText xml:space="preserve"> PAGEREF _Toc451961516 \h </w:instrText>
            </w:r>
            <w:r w:rsidR="00F3327F">
              <w:rPr>
                <w:noProof/>
                <w:webHidden/>
              </w:rPr>
            </w:r>
            <w:r w:rsidR="00F3327F">
              <w:rPr>
                <w:noProof/>
                <w:webHidden/>
              </w:rPr>
              <w:fldChar w:fldCharType="separate"/>
            </w:r>
            <w:r w:rsidR="00BC2743">
              <w:rPr>
                <w:noProof/>
                <w:webHidden/>
              </w:rPr>
              <w:t>33</w:t>
            </w:r>
            <w:r w:rsidR="00F3327F">
              <w:rPr>
                <w:noProof/>
                <w:webHidden/>
              </w:rPr>
              <w:fldChar w:fldCharType="end"/>
            </w:r>
          </w:hyperlink>
        </w:p>
        <w:p w14:paraId="5EF4D0E1" w14:textId="68B7CAAA" w:rsidR="00F3327F" w:rsidRDefault="00892229">
          <w:pPr>
            <w:pStyle w:val="Inhopg3"/>
            <w:tabs>
              <w:tab w:val="left" w:pos="880"/>
              <w:tab w:val="right" w:leader="dot" w:pos="9062"/>
            </w:tabs>
            <w:rPr>
              <w:noProof/>
            </w:rPr>
          </w:pPr>
          <w:hyperlink w:anchor="_Toc451961517" w:history="1">
            <w:r w:rsidR="00F3327F" w:rsidRPr="00A26983">
              <w:rPr>
                <w:rStyle w:val="Hyperlink"/>
                <w:noProof/>
                <w:lang w:val="en-GB"/>
              </w:rPr>
              <w:t>e)</w:t>
            </w:r>
            <w:r w:rsidR="00F3327F">
              <w:rPr>
                <w:noProof/>
              </w:rPr>
              <w:tab/>
            </w:r>
            <w:r w:rsidR="00F3327F" w:rsidRPr="00A26983">
              <w:rPr>
                <w:rStyle w:val="Hyperlink"/>
                <w:noProof/>
                <w:lang w:val="en-GB"/>
              </w:rPr>
              <w:t>Hormones</w:t>
            </w:r>
            <w:r w:rsidR="00F3327F">
              <w:rPr>
                <w:noProof/>
                <w:webHidden/>
              </w:rPr>
              <w:tab/>
            </w:r>
            <w:r w:rsidR="00F3327F">
              <w:rPr>
                <w:noProof/>
                <w:webHidden/>
              </w:rPr>
              <w:fldChar w:fldCharType="begin"/>
            </w:r>
            <w:r w:rsidR="00F3327F">
              <w:rPr>
                <w:noProof/>
                <w:webHidden/>
              </w:rPr>
              <w:instrText xml:space="preserve"> PAGEREF _Toc451961517 \h </w:instrText>
            </w:r>
            <w:r w:rsidR="00F3327F">
              <w:rPr>
                <w:noProof/>
                <w:webHidden/>
              </w:rPr>
            </w:r>
            <w:r w:rsidR="00F3327F">
              <w:rPr>
                <w:noProof/>
                <w:webHidden/>
              </w:rPr>
              <w:fldChar w:fldCharType="separate"/>
            </w:r>
            <w:r w:rsidR="00BC2743">
              <w:rPr>
                <w:noProof/>
                <w:webHidden/>
              </w:rPr>
              <w:t>33</w:t>
            </w:r>
            <w:r w:rsidR="00F3327F">
              <w:rPr>
                <w:noProof/>
                <w:webHidden/>
              </w:rPr>
              <w:fldChar w:fldCharType="end"/>
            </w:r>
          </w:hyperlink>
        </w:p>
        <w:p w14:paraId="70FE2AA4" w14:textId="492A4539" w:rsidR="00F3327F" w:rsidRDefault="00892229">
          <w:pPr>
            <w:pStyle w:val="Inhopg2"/>
            <w:tabs>
              <w:tab w:val="left" w:pos="660"/>
              <w:tab w:val="right" w:leader="dot" w:pos="9062"/>
            </w:tabs>
            <w:rPr>
              <w:noProof/>
            </w:rPr>
          </w:pPr>
          <w:hyperlink w:anchor="_Toc451961518" w:history="1">
            <w:r w:rsidR="00F3327F" w:rsidRPr="00A26983">
              <w:rPr>
                <w:rStyle w:val="Hyperlink"/>
                <w:noProof/>
                <w14:scene3d>
                  <w14:camera w14:prst="orthographicFront"/>
                  <w14:lightRig w14:rig="threePt" w14:dir="t">
                    <w14:rot w14:lat="0" w14:lon="0" w14:rev="0"/>
                  </w14:lightRig>
                </w14:scene3d>
              </w:rPr>
              <w:t>2.</w:t>
            </w:r>
            <w:r w:rsidR="00F3327F">
              <w:rPr>
                <w:noProof/>
              </w:rPr>
              <w:tab/>
            </w:r>
            <w:r w:rsidR="00F3327F" w:rsidRPr="00A26983">
              <w:rPr>
                <w:rStyle w:val="Hyperlink"/>
                <w:noProof/>
              </w:rPr>
              <w:t>Cyproterone acetate in MtF transgender adolescents</w:t>
            </w:r>
            <w:r w:rsidR="00F3327F">
              <w:rPr>
                <w:noProof/>
                <w:webHidden/>
              </w:rPr>
              <w:tab/>
            </w:r>
            <w:r w:rsidR="00F3327F">
              <w:rPr>
                <w:noProof/>
                <w:webHidden/>
              </w:rPr>
              <w:fldChar w:fldCharType="begin"/>
            </w:r>
            <w:r w:rsidR="00F3327F">
              <w:rPr>
                <w:noProof/>
                <w:webHidden/>
              </w:rPr>
              <w:instrText xml:space="preserve"> PAGEREF _Toc451961518 \h </w:instrText>
            </w:r>
            <w:r w:rsidR="00F3327F">
              <w:rPr>
                <w:noProof/>
                <w:webHidden/>
              </w:rPr>
            </w:r>
            <w:r w:rsidR="00F3327F">
              <w:rPr>
                <w:noProof/>
                <w:webHidden/>
              </w:rPr>
              <w:fldChar w:fldCharType="separate"/>
            </w:r>
            <w:r w:rsidR="00BC2743">
              <w:rPr>
                <w:noProof/>
                <w:webHidden/>
              </w:rPr>
              <w:t>35</w:t>
            </w:r>
            <w:r w:rsidR="00F3327F">
              <w:rPr>
                <w:noProof/>
                <w:webHidden/>
              </w:rPr>
              <w:fldChar w:fldCharType="end"/>
            </w:r>
          </w:hyperlink>
        </w:p>
        <w:p w14:paraId="61B6CCCA" w14:textId="43F9A9D6" w:rsidR="00F3327F" w:rsidRDefault="00892229">
          <w:pPr>
            <w:pStyle w:val="Inhopg3"/>
            <w:tabs>
              <w:tab w:val="left" w:pos="880"/>
              <w:tab w:val="right" w:leader="dot" w:pos="9062"/>
            </w:tabs>
            <w:rPr>
              <w:noProof/>
            </w:rPr>
          </w:pPr>
          <w:hyperlink w:anchor="_Toc451961519" w:history="1">
            <w:r w:rsidR="00F3327F" w:rsidRPr="00A26983">
              <w:rPr>
                <w:rStyle w:val="Hyperlink"/>
                <w:noProof/>
                <w:lang w:val="en-GB"/>
              </w:rPr>
              <w:t>a)</w:t>
            </w:r>
            <w:r w:rsidR="00F3327F">
              <w:rPr>
                <w:noProof/>
              </w:rPr>
              <w:tab/>
            </w:r>
            <w:r w:rsidR="00F3327F" w:rsidRPr="00A26983">
              <w:rPr>
                <w:rStyle w:val="Hyperlink"/>
                <w:noProof/>
                <w:lang w:val="en-GB"/>
              </w:rPr>
              <w:t>Clinical effects and side effects</w:t>
            </w:r>
            <w:r w:rsidR="00F3327F">
              <w:rPr>
                <w:noProof/>
                <w:webHidden/>
              </w:rPr>
              <w:tab/>
            </w:r>
            <w:r w:rsidR="00F3327F">
              <w:rPr>
                <w:noProof/>
                <w:webHidden/>
              </w:rPr>
              <w:fldChar w:fldCharType="begin"/>
            </w:r>
            <w:r w:rsidR="00F3327F">
              <w:rPr>
                <w:noProof/>
                <w:webHidden/>
              </w:rPr>
              <w:instrText xml:space="preserve"> PAGEREF _Toc451961519 \h </w:instrText>
            </w:r>
            <w:r w:rsidR="00F3327F">
              <w:rPr>
                <w:noProof/>
                <w:webHidden/>
              </w:rPr>
            </w:r>
            <w:r w:rsidR="00F3327F">
              <w:rPr>
                <w:noProof/>
                <w:webHidden/>
              </w:rPr>
              <w:fldChar w:fldCharType="separate"/>
            </w:r>
            <w:r w:rsidR="00BC2743">
              <w:rPr>
                <w:noProof/>
                <w:webHidden/>
              </w:rPr>
              <w:t>35</w:t>
            </w:r>
            <w:r w:rsidR="00F3327F">
              <w:rPr>
                <w:noProof/>
                <w:webHidden/>
              </w:rPr>
              <w:fldChar w:fldCharType="end"/>
            </w:r>
          </w:hyperlink>
        </w:p>
        <w:p w14:paraId="3CDB3AEC" w14:textId="6F1B1F09" w:rsidR="00F3327F" w:rsidRDefault="00892229">
          <w:pPr>
            <w:pStyle w:val="Inhopg3"/>
            <w:tabs>
              <w:tab w:val="left" w:pos="880"/>
              <w:tab w:val="right" w:leader="dot" w:pos="9062"/>
            </w:tabs>
            <w:rPr>
              <w:noProof/>
            </w:rPr>
          </w:pPr>
          <w:hyperlink w:anchor="_Toc451961520" w:history="1">
            <w:r w:rsidR="00F3327F" w:rsidRPr="00A26983">
              <w:rPr>
                <w:rStyle w:val="Hyperlink"/>
                <w:noProof/>
                <w:lang w:val="en-GB"/>
              </w:rPr>
              <w:t>b)</w:t>
            </w:r>
            <w:r w:rsidR="00F3327F">
              <w:rPr>
                <w:noProof/>
              </w:rPr>
              <w:tab/>
            </w:r>
            <w:r w:rsidR="00F3327F" w:rsidRPr="00A26983">
              <w:rPr>
                <w:rStyle w:val="Hyperlink"/>
                <w:noProof/>
                <w:lang w:val="en-GB"/>
              </w:rPr>
              <w:t>Anthropometrics</w:t>
            </w:r>
            <w:r w:rsidR="00F3327F">
              <w:rPr>
                <w:noProof/>
                <w:webHidden/>
              </w:rPr>
              <w:tab/>
            </w:r>
            <w:r w:rsidR="00F3327F">
              <w:rPr>
                <w:noProof/>
                <w:webHidden/>
              </w:rPr>
              <w:fldChar w:fldCharType="begin"/>
            </w:r>
            <w:r w:rsidR="00F3327F">
              <w:rPr>
                <w:noProof/>
                <w:webHidden/>
              </w:rPr>
              <w:instrText xml:space="preserve"> PAGEREF _Toc451961520 \h </w:instrText>
            </w:r>
            <w:r w:rsidR="00F3327F">
              <w:rPr>
                <w:noProof/>
                <w:webHidden/>
              </w:rPr>
            </w:r>
            <w:r w:rsidR="00F3327F">
              <w:rPr>
                <w:noProof/>
                <w:webHidden/>
              </w:rPr>
              <w:fldChar w:fldCharType="separate"/>
            </w:r>
            <w:r w:rsidR="00BC2743">
              <w:rPr>
                <w:noProof/>
                <w:webHidden/>
              </w:rPr>
              <w:t>35</w:t>
            </w:r>
            <w:r w:rsidR="00F3327F">
              <w:rPr>
                <w:noProof/>
                <w:webHidden/>
              </w:rPr>
              <w:fldChar w:fldCharType="end"/>
            </w:r>
          </w:hyperlink>
        </w:p>
        <w:p w14:paraId="41704BE5" w14:textId="74325A45" w:rsidR="00F3327F" w:rsidRDefault="00892229">
          <w:pPr>
            <w:pStyle w:val="Inhopg3"/>
            <w:tabs>
              <w:tab w:val="left" w:pos="880"/>
              <w:tab w:val="right" w:leader="dot" w:pos="9062"/>
            </w:tabs>
            <w:rPr>
              <w:noProof/>
            </w:rPr>
          </w:pPr>
          <w:hyperlink w:anchor="_Toc451961521" w:history="1">
            <w:r w:rsidR="00F3327F" w:rsidRPr="00A26983">
              <w:rPr>
                <w:rStyle w:val="Hyperlink"/>
                <w:noProof/>
                <w:lang w:val="en-GB"/>
              </w:rPr>
              <w:t>c)</w:t>
            </w:r>
            <w:r w:rsidR="00F3327F">
              <w:rPr>
                <w:noProof/>
              </w:rPr>
              <w:tab/>
            </w:r>
            <w:r w:rsidR="00F3327F" w:rsidRPr="00A26983">
              <w:rPr>
                <w:rStyle w:val="Hyperlink"/>
                <w:noProof/>
                <w:lang w:val="en-GB"/>
              </w:rPr>
              <w:t>Safety parameters</w:t>
            </w:r>
            <w:r w:rsidR="00F3327F">
              <w:rPr>
                <w:noProof/>
                <w:webHidden/>
              </w:rPr>
              <w:tab/>
            </w:r>
            <w:r w:rsidR="00F3327F">
              <w:rPr>
                <w:noProof/>
                <w:webHidden/>
              </w:rPr>
              <w:fldChar w:fldCharType="begin"/>
            </w:r>
            <w:r w:rsidR="00F3327F">
              <w:rPr>
                <w:noProof/>
                <w:webHidden/>
              </w:rPr>
              <w:instrText xml:space="preserve"> PAGEREF _Toc451961521 \h </w:instrText>
            </w:r>
            <w:r w:rsidR="00F3327F">
              <w:rPr>
                <w:noProof/>
                <w:webHidden/>
              </w:rPr>
            </w:r>
            <w:r w:rsidR="00F3327F">
              <w:rPr>
                <w:noProof/>
                <w:webHidden/>
              </w:rPr>
              <w:fldChar w:fldCharType="separate"/>
            </w:r>
            <w:r w:rsidR="00BC2743">
              <w:rPr>
                <w:noProof/>
                <w:webHidden/>
              </w:rPr>
              <w:t>35</w:t>
            </w:r>
            <w:r w:rsidR="00F3327F">
              <w:rPr>
                <w:noProof/>
                <w:webHidden/>
              </w:rPr>
              <w:fldChar w:fldCharType="end"/>
            </w:r>
          </w:hyperlink>
        </w:p>
        <w:p w14:paraId="0C1C7A12" w14:textId="75824450" w:rsidR="00F3327F" w:rsidRDefault="00892229">
          <w:pPr>
            <w:pStyle w:val="Inhopg2"/>
            <w:tabs>
              <w:tab w:val="left" w:pos="660"/>
              <w:tab w:val="right" w:leader="dot" w:pos="9062"/>
            </w:tabs>
            <w:rPr>
              <w:noProof/>
            </w:rPr>
          </w:pPr>
          <w:hyperlink w:anchor="_Toc451961522" w:history="1">
            <w:r w:rsidR="00F3327F" w:rsidRPr="00A26983">
              <w:rPr>
                <w:rStyle w:val="Hyperlink"/>
                <w:noProof/>
                <w:lang w:val="en-GB"/>
                <w14:scene3d>
                  <w14:camera w14:prst="orthographicFront"/>
                  <w14:lightRig w14:rig="threePt" w14:dir="t">
                    <w14:rot w14:lat="0" w14:lon="0" w14:rev="0"/>
                  </w14:lightRig>
                </w14:scene3d>
              </w:rPr>
              <w:t>3.</w:t>
            </w:r>
            <w:r w:rsidR="00F3327F">
              <w:rPr>
                <w:noProof/>
              </w:rPr>
              <w:tab/>
            </w:r>
            <w:r w:rsidR="00F3327F" w:rsidRPr="00A26983">
              <w:rPr>
                <w:rStyle w:val="Hyperlink"/>
                <w:noProof/>
                <w:lang w:val="en-GB"/>
              </w:rPr>
              <w:t>Effects of progestins on body composition and muscle and bone development</w:t>
            </w:r>
            <w:r w:rsidR="00F3327F">
              <w:rPr>
                <w:noProof/>
                <w:webHidden/>
              </w:rPr>
              <w:tab/>
            </w:r>
            <w:r w:rsidR="00F3327F">
              <w:rPr>
                <w:noProof/>
                <w:webHidden/>
              </w:rPr>
              <w:fldChar w:fldCharType="begin"/>
            </w:r>
            <w:r w:rsidR="00F3327F">
              <w:rPr>
                <w:noProof/>
                <w:webHidden/>
              </w:rPr>
              <w:instrText xml:space="preserve"> PAGEREF _Toc451961522 \h </w:instrText>
            </w:r>
            <w:r w:rsidR="00F3327F">
              <w:rPr>
                <w:noProof/>
                <w:webHidden/>
              </w:rPr>
            </w:r>
            <w:r w:rsidR="00F3327F">
              <w:rPr>
                <w:noProof/>
                <w:webHidden/>
              </w:rPr>
              <w:fldChar w:fldCharType="separate"/>
            </w:r>
            <w:r w:rsidR="00BC2743">
              <w:rPr>
                <w:noProof/>
                <w:webHidden/>
              </w:rPr>
              <w:t>38</w:t>
            </w:r>
            <w:r w:rsidR="00F3327F">
              <w:rPr>
                <w:noProof/>
                <w:webHidden/>
              </w:rPr>
              <w:fldChar w:fldCharType="end"/>
            </w:r>
          </w:hyperlink>
        </w:p>
        <w:p w14:paraId="3B83AAE7" w14:textId="5368388E" w:rsidR="00F3327F" w:rsidRDefault="00892229">
          <w:pPr>
            <w:pStyle w:val="Inhopg3"/>
            <w:tabs>
              <w:tab w:val="left" w:pos="880"/>
              <w:tab w:val="right" w:leader="dot" w:pos="9062"/>
            </w:tabs>
            <w:rPr>
              <w:noProof/>
            </w:rPr>
          </w:pPr>
          <w:hyperlink w:anchor="_Toc451961523" w:history="1">
            <w:r w:rsidR="00F3327F" w:rsidRPr="00A26983">
              <w:rPr>
                <w:rStyle w:val="Hyperlink"/>
                <w:noProof/>
                <w:lang w:val="en-GB"/>
              </w:rPr>
              <w:t>a)</w:t>
            </w:r>
            <w:r w:rsidR="00F3327F">
              <w:rPr>
                <w:noProof/>
              </w:rPr>
              <w:tab/>
            </w:r>
            <w:r w:rsidR="00F3327F" w:rsidRPr="00A26983">
              <w:rPr>
                <w:rStyle w:val="Hyperlink"/>
                <w:noProof/>
                <w:lang w:val="en-GB"/>
              </w:rPr>
              <w:t>Body composition</w:t>
            </w:r>
            <w:r w:rsidR="00F3327F">
              <w:rPr>
                <w:noProof/>
                <w:webHidden/>
              </w:rPr>
              <w:tab/>
            </w:r>
            <w:r w:rsidR="00F3327F">
              <w:rPr>
                <w:noProof/>
                <w:webHidden/>
              </w:rPr>
              <w:fldChar w:fldCharType="begin"/>
            </w:r>
            <w:r w:rsidR="00F3327F">
              <w:rPr>
                <w:noProof/>
                <w:webHidden/>
              </w:rPr>
              <w:instrText xml:space="preserve"> PAGEREF _Toc451961523 \h </w:instrText>
            </w:r>
            <w:r w:rsidR="00F3327F">
              <w:rPr>
                <w:noProof/>
                <w:webHidden/>
              </w:rPr>
            </w:r>
            <w:r w:rsidR="00F3327F">
              <w:rPr>
                <w:noProof/>
                <w:webHidden/>
              </w:rPr>
              <w:fldChar w:fldCharType="separate"/>
            </w:r>
            <w:r w:rsidR="00BC2743">
              <w:rPr>
                <w:noProof/>
                <w:webHidden/>
              </w:rPr>
              <w:t>38</w:t>
            </w:r>
            <w:r w:rsidR="00F3327F">
              <w:rPr>
                <w:noProof/>
                <w:webHidden/>
              </w:rPr>
              <w:fldChar w:fldCharType="end"/>
            </w:r>
          </w:hyperlink>
        </w:p>
        <w:p w14:paraId="454039C2" w14:textId="411E9388" w:rsidR="00F3327F" w:rsidRDefault="00892229">
          <w:pPr>
            <w:pStyle w:val="Inhopg3"/>
            <w:tabs>
              <w:tab w:val="left" w:pos="880"/>
              <w:tab w:val="right" w:leader="dot" w:pos="9062"/>
            </w:tabs>
            <w:rPr>
              <w:noProof/>
            </w:rPr>
          </w:pPr>
          <w:hyperlink w:anchor="_Toc451961524" w:history="1">
            <w:r w:rsidR="00F3327F" w:rsidRPr="00A26983">
              <w:rPr>
                <w:rStyle w:val="Hyperlink"/>
                <w:noProof/>
                <w:lang w:val="en-GB"/>
              </w:rPr>
              <w:t>b)</w:t>
            </w:r>
            <w:r w:rsidR="00F3327F">
              <w:rPr>
                <w:noProof/>
              </w:rPr>
              <w:tab/>
            </w:r>
            <w:r w:rsidR="00F3327F" w:rsidRPr="00A26983">
              <w:rPr>
                <w:rStyle w:val="Hyperlink"/>
                <w:noProof/>
                <w:lang w:val="en-GB"/>
              </w:rPr>
              <w:t>Lab results</w:t>
            </w:r>
            <w:r w:rsidR="00F3327F">
              <w:rPr>
                <w:noProof/>
                <w:webHidden/>
              </w:rPr>
              <w:tab/>
            </w:r>
            <w:r w:rsidR="00F3327F">
              <w:rPr>
                <w:noProof/>
                <w:webHidden/>
              </w:rPr>
              <w:fldChar w:fldCharType="begin"/>
            </w:r>
            <w:r w:rsidR="00F3327F">
              <w:rPr>
                <w:noProof/>
                <w:webHidden/>
              </w:rPr>
              <w:instrText xml:space="preserve"> PAGEREF _Toc451961524 \h </w:instrText>
            </w:r>
            <w:r w:rsidR="00F3327F">
              <w:rPr>
                <w:noProof/>
                <w:webHidden/>
              </w:rPr>
            </w:r>
            <w:r w:rsidR="00F3327F">
              <w:rPr>
                <w:noProof/>
                <w:webHidden/>
              </w:rPr>
              <w:fldChar w:fldCharType="separate"/>
            </w:r>
            <w:r w:rsidR="00BC2743">
              <w:rPr>
                <w:noProof/>
                <w:webHidden/>
              </w:rPr>
              <w:t>38</w:t>
            </w:r>
            <w:r w:rsidR="00F3327F">
              <w:rPr>
                <w:noProof/>
                <w:webHidden/>
              </w:rPr>
              <w:fldChar w:fldCharType="end"/>
            </w:r>
          </w:hyperlink>
        </w:p>
        <w:p w14:paraId="4BF49926" w14:textId="4650729A" w:rsidR="00F3327F" w:rsidRDefault="00892229">
          <w:pPr>
            <w:pStyle w:val="Inhopg3"/>
            <w:tabs>
              <w:tab w:val="left" w:pos="880"/>
              <w:tab w:val="right" w:leader="dot" w:pos="9062"/>
            </w:tabs>
            <w:rPr>
              <w:noProof/>
            </w:rPr>
          </w:pPr>
          <w:hyperlink w:anchor="_Toc451961525" w:history="1">
            <w:r w:rsidR="00F3327F" w:rsidRPr="00A26983">
              <w:rPr>
                <w:rStyle w:val="Hyperlink"/>
                <w:noProof/>
                <w:lang w:val="en-GB"/>
              </w:rPr>
              <w:t>c)</w:t>
            </w:r>
            <w:r w:rsidR="00F3327F">
              <w:rPr>
                <w:noProof/>
              </w:rPr>
              <w:tab/>
            </w:r>
            <w:r w:rsidR="00F3327F" w:rsidRPr="00A26983">
              <w:rPr>
                <w:rStyle w:val="Hyperlink"/>
                <w:noProof/>
                <w:lang w:val="en-GB"/>
              </w:rPr>
              <w:t>Bone (DXA)</w:t>
            </w:r>
            <w:r w:rsidR="00F3327F">
              <w:rPr>
                <w:noProof/>
                <w:webHidden/>
              </w:rPr>
              <w:tab/>
            </w:r>
            <w:r w:rsidR="00F3327F">
              <w:rPr>
                <w:noProof/>
                <w:webHidden/>
              </w:rPr>
              <w:fldChar w:fldCharType="begin"/>
            </w:r>
            <w:r w:rsidR="00F3327F">
              <w:rPr>
                <w:noProof/>
                <w:webHidden/>
              </w:rPr>
              <w:instrText xml:space="preserve"> PAGEREF _Toc451961525 \h </w:instrText>
            </w:r>
            <w:r w:rsidR="00F3327F">
              <w:rPr>
                <w:noProof/>
                <w:webHidden/>
              </w:rPr>
            </w:r>
            <w:r w:rsidR="00F3327F">
              <w:rPr>
                <w:noProof/>
                <w:webHidden/>
              </w:rPr>
              <w:fldChar w:fldCharType="separate"/>
            </w:r>
            <w:r w:rsidR="00BC2743">
              <w:rPr>
                <w:noProof/>
                <w:webHidden/>
              </w:rPr>
              <w:t>39</w:t>
            </w:r>
            <w:r w:rsidR="00F3327F">
              <w:rPr>
                <w:noProof/>
                <w:webHidden/>
              </w:rPr>
              <w:fldChar w:fldCharType="end"/>
            </w:r>
          </w:hyperlink>
        </w:p>
        <w:p w14:paraId="01A42033" w14:textId="7218BE71" w:rsidR="00F3327F" w:rsidRDefault="00892229">
          <w:pPr>
            <w:pStyle w:val="Inhopg3"/>
            <w:tabs>
              <w:tab w:val="left" w:pos="880"/>
              <w:tab w:val="right" w:leader="dot" w:pos="9062"/>
            </w:tabs>
            <w:rPr>
              <w:noProof/>
            </w:rPr>
          </w:pPr>
          <w:hyperlink w:anchor="_Toc451961526" w:history="1">
            <w:r w:rsidR="00F3327F" w:rsidRPr="00A26983">
              <w:rPr>
                <w:rStyle w:val="Hyperlink"/>
                <w:noProof/>
                <w:lang w:val="en-GB"/>
              </w:rPr>
              <w:t>d)</w:t>
            </w:r>
            <w:r w:rsidR="00F3327F">
              <w:rPr>
                <w:noProof/>
              </w:rPr>
              <w:tab/>
            </w:r>
            <w:r w:rsidR="00F3327F" w:rsidRPr="00A26983">
              <w:rPr>
                <w:rStyle w:val="Hyperlink"/>
                <w:noProof/>
                <w:lang w:val="en-GB"/>
              </w:rPr>
              <w:t>Bone (pQCT)</w:t>
            </w:r>
            <w:r w:rsidR="00F3327F">
              <w:rPr>
                <w:noProof/>
                <w:webHidden/>
              </w:rPr>
              <w:tab/>
            </w:r>
            <w:r w:rsidR="00F3327F">
              <w:rPr>
                <w:noProof/>
                <w:webHidden/>
              </w:rPr>
              <w:fldChar w:fldCharType="begin"/>
            </w:r>
            <w:r w:rsidR="00F3327F">
              <w:rPr>
                <w:noProof/>
                <w:webHidden/>
              </w:rPr>
              <w:instrText xml:space="preserve"> PAGEREF _Toc451961526 \h </w:instrText>
            </w:r>
            <w:r w:rsidR="00F3327F">
              <w:rPr>
                <w:noProof/>
                <w:webHidden/>
              </w:rPr>
            </w:r>
            <w:r w:rsidR="00F3327F">
              <w:rPr>
                <w:noProof/>
                <w:webHidden/>
              </w:rPr>
              <w:fldChar w:fldCharType="separate"/>
            </w:r>
            <w:r w:rsidR="00BC2743">
              <w:rPr>
                <w:noProof/>
                <w:webHidden/>
              </w:rPr>
              <w:t>39</w:t>
            </w:r>
            <w:r w:rsidR="00F3327F">
              <w:rPr>
                <w:noProof/>
                <w:webHidden/>
              </w:rPr>
              <w:fldChar w:fldCharType="end"/>
            </w:r>
          </w:hyperlink>
        </w:p>
        <w:p w14:paraId="1073EC64" w14:textId="7FA28D1F" w:rsidR="00F3327F" w:rsidRDefault="00892229">
          <w:pPr>
            <w:pStyle w:val="Inhopg1"/>
            <w:tabs>
              <w:tab w:val="left" w:pos="660"/>
              <w:tab w:val="right" w:leader="dot" w:pos="9062"/>
            </w:tabs>
            <w:rPr>
              <w:noProof/>
            </w:rPr>
          </w:pPr>
          <w:hyperlink w:anchor="_Toc451961527" w:history="1">
            <w:r w:rsidR="00F3327F" w:rsidRPr="00A26983">
              <w:rPr>
                <w:rStyle w:val="Hyperlink"/>
                <w:noProof/>
                <w:lang w:val="en-GB"/>
              </w:rPr>
              <w:t>VI.</w:t>
            </w:r>
            <w:r w:rsidR="00F3327F">
              <w:rPr>
                <w:noProof/>
              </w:rPr>
              <w:tab/>
            </w:r>
            <w:r w:rsidR="00F3327F" w:rsidRPr="00A26983">
              <w:rPr>
                <w:rStyle w:val="Hyperlink"/>
                <w:noProof/>
                <w:lang w:val="en-GB"/>
              </w:rPr>
              <w:t>Conclusions</w:t>
            </w:r>
            <w:r w:rsidR="00F3327F">
              <w:rPr>
                <w:noProof/>
                <w:webHidden/>
              </w:rPr>
              <w:tab/>
            </w:r>
            <w:r w:rsidR="00F3327F">
              <w:rPr>
                <w:noProof/>
                <w:webHidden/>
              </w:rPr>
              <w:fldChar w:fldCharType="begin"/>
            </w:r>
            <w:r w:rsidR="00F3327F">
              <w:rPr>
                <w:noProof/>
                <w:webHidden/>
              </w:rPr>
              <w:instrText xml:space="preserve"> PAGEREF _Toc451961527 \h </w:instrText>
            </w:r>
            <w:r w:rsidR="00F3327F">
              <w:rPr>
                <w:noProof/>
                <w:webHidden/>
              </w:rPr>
            </w:r>
            <w:r w:rsidR="00F3327F">
              <w:rPr>
                <w:noProof/>
                <w:webHidden/>
              </w:rPr>
              <w:fldChar w:fldCharType="separate"/>
            </w:r>
            <w:r w:rsidR="00BC2743">
              <w:rPr>
                <w:noProof/>
                <w:webHidden/>
              </w:rPr>
              <w:t>41</w:t>
            </w:r>
            <w:r w:rsidR="00F3327F">
              <w:rPr>
                <w:noProof/>
                <w:webHidden/>
              </w:rPr>
              <w:fldChar w:fldCharType="end"/>
            </w:r>
          </w:hyperlink>
        </w:p>
        <w:p w14:paraId="4A408415" w14:textId="7A6BF0CD" w:rsidR="00F3327F" w:rsidRDefault="00892229">
          <w:pPr>
            <w:pStyle w:val="Inhopg1"/>
            <w:tabs>
              <w:tab w:val="left" w:pos="660"/>
              <w:tab w:val="right" w:leader="dot" w:pos="9062"/>
            </w:tabs>
            <w:rPr>
              <w:noProof/>
            </w:rPr>
          </w:pPr>
          <w:hyperlink w:anchor="_Toc451961528" w:history="1">
            <w:r w:rsidR="00F3327F" w:rsidRPr="00A26983">
              <w:rPr>
                <w:rStyle w:val="Hyperlink"/>
                <w:noProof/>
                <w:lang w:val="en-GB"/>
              </w:rPr>
              <w:t>VII.</w:t>
            </w:r>
            <w:r w:rsidR="00F3327F">
              <w:rPr>
                <w:noProof/>
              </w:rPr>
              <w:tab/>
            </w:r>
            <w:r w:rsidR="00F3327F" w:rsidRPr="00A26983">
              <w:rPr>
                <w:rStyle w:val="Hyperlink"/>
                <w:noProof/>
                <w:lang w:val="en-GB"/>
              </w:rPr>
              <w:t>Perspectives for further research</w:t>
            </w:r>
            <w:r w:rsidR="00F3327F">
              <w:rPr>
                <w:noProof/>
                <w:webHidden/>
              </w:rPr>
              <w:tab/>
            </w:r>
            <w:r w:rsidR="00F3327F">
              <w:rPr>
                <w:noProof/>
                <w:webHidden/>
              </w:rPr>
              <w:fldChar w:fldCharType="begin"/>
            </w:r>
            <w:r w:rsidR="00F3327F">
              <w:rPr>
                <w:noProof/>
                <w:webHidden/>
              </w:rPr>
              <w:instrText xml:space="preserve"> PAGEREF _Toc451961528 \h </w:instrText>
            </w:r>
            <w:r w:rsidR="00F3327F">
              <w:rPr>
                <w:noProof/>
                <w:webHidden/>
              </w:rPr>
            </w:r>
            <w:r w:rsidR="00F3327F">
              <w:rPr>
                <w:noProof/>
                <w:webHidden/>
              </w:rPr>
              <w:fldChar w:fldCharType="separate"/>
            </w:r>
            <w:r w:rsidR="00BC2743">
              <w:rPr>
                <w:noProof/>
                <w:webHidden/>
              </w:rPr>
              <w:t>42</w:t>
            </w:r>
            <w:r w:rsidR="00F3327F">
              <w:rPr>
                <w:noProof/>
                <w:webHidden/>
              </w:rPr>
              <w:fldChar w:fldCharType="end"/>
            </w:r>
          </w:hyperlink>
        </w:p>
        <w:p w14:paraId="2817F11C" w14:textId="533749F9" w:rsidR="00F3327F" w:rsidRDefault="00892229">
          <w:pPr>
            <w:pStyle w:val="Inhopg1"/>
            <w:tabs>
              <w:tab w:val="left" w:pos="660"/>
              <w:tab w:val="right" w:leader="dot" w:pos="9062"/>
            </w:tabs>
            <w:rPr>
              <w:noProof/>
            </w:rPr>
          </w:pPr>
          <w:hyperlink w:anchor="_Toc451961529" w:history="1">
            <w:r w:rsidR="00F3327F" w:rsidRPr="00A26983">
              <w:rPr>
                <w:rStyle w:val="Hyperlink"/>
                <w:noProof/>
                <w:lang w:val="en-US"/>
              </w:rPr>
              <w:t>VIII.</w:t>
            </w:r>
            <w:r w:rsidR="00F3327F">
              <w:rPr>
                <w:noProof/>
              </w:rPr>
              <w:tab/>
            </w:r>
            <w:r w:rsidR="00F3327F" w:rsidRPr="00A26983">
              <w:rPr>
                <w:rStyle w:val="Hyperlink"/>
                <w:noProof/>
                <w:lang w:val="en-US"/>
              </w:rPr>
              <w:t>Abbreviations</w:t>
            </w:r>
            <w:r w:rsidR="00F3327F">
              <w:rPr>
                <w:noProof/>
                <w:webHidden/>
              </w:rPr>
              <w:tab/>
            </w:r>
            <w:r w:rsidR="00F3327F">
              <w:rPr>
                <w:noProof/>
                <w:webHidden/>
              </w:rPr>
              <w:fldChar w:fldCharType="begin"/>
            </w:r>
            <w:r w:rsidR="00F3327F">
              <w:rPr>
                <w:noProof/>
                <w:webHidden/>
              </w:rPr>
              <w:instrText xml:space="preserve"> PAGEREF _Toc451961529 \h </w:instrText>
            </w:r>
            <w:r w:rsidR="00F3327F">
              <w:rPr>
                <w:noProof/>
                <w:webHidden/>
              </w:rPr>
            </w:r>
            <w:r w:rsidR="00F3327F">
              <w:rPr>
                <w:noProof/>
                <w:webHidden/>
              </w:rPr>
              <w:fldChar w:fldCharType="separate"/>
            </w:r>
            <w:r w:rsidR="00BC2743">
              <w:rPr>
                <w:noProof/>
                <w:webHidden/>
              </w:rPr>
              <w:t>43</w:t>
            </w:r>
            <w:r w:rsidR="00F3327F">
              <w:rPr>
                <w:noProof/>
                <w:webHidden/>
              </w:rPr>
              <w:fldChar w:fldCharType="end"/>
            </w:r>
          </w:hyperlink>
        </w:p>
        <w:p w14:paraId="3989884D" w14:textId="10C03B69" w:rsidR="00F3327F" w:rsidRDefault="00892229">
          <w:pPr>
            <w:pStyle w:val="Inhopg1"/>
            <w:tabs>
              <w:tab w:val="left" w:pos="660"/>
              <w:tab w:val="right" w:leader="dot" w:pos="9062"/>
            </w:tabs>
            <w:rPr>
              <w:noProof/>
            </w:rPr>
          </w:pPr>
          <w:hyperlink w:anchor="_Toc451961530" w:history="1">
            <w:r w:rsidR="00F3327F" w:rsidRPr="00A26983">
              <w:rPr>
                <w:rStyle w:val="Hyperlink"/>
                <w:noProof/>
                <w:lang w:val="en-GB"/>
              </w:rPr>
              <w:t>IX.</w:t>
            </w:r>
            <w:r w:rsidR="00F3327F">
              <w:rPr>
                <w:noProof/>
              </w:rPr>
              <w:tab/>
            </w:r>
            <w:r w:rsidR="00F3327F" w:rsidRPr="00A26983">
              <w:rPr>
                <w:rStyle w:val="Hyperlink"/>
                <w:noProof/>
                <w:lang w:val="en-GB"/>
              </w:rPr>
              <w:t>References</w:t>
            </w:r>
            <w:r w:rsidR="00F3327F">
              <w:rPr>
                <w:noProof/>
                <w:webHidden/>
              </w:rPr>
              <w:tab/>
            </w:r>
            <w:r w:rsidR="00F3327F">
              <w:rPr>
                <w:noProof/>
                <w:webHidden/>
              </w:rPr>
              <w:fldChar w:fldCharType="begin"/>
            </w:r>
            <w:r w:rsidR="00F3327F">
              <w:rPr>
                <w:noProof/>
                <w:webHidden/>
              </w:rPr>
              <w:instrText xml:space="preserve"> PAGEREF _Toc451961530 \h </w:instrText>
            </w:r>
            <w:r w:rsidR="00F3327F">
              <w:rPr>
                <w:noProof/>
                <w:webHidden/>
              </w:rPr>
            </w:r>
            <w:r w:rsidR="00F3327F">
              <w:rPr>
                <w:noProof/>
                <w:webHidden/>
              </w:rPr>
              <w:fldChar w:fldCharType="separate"/>
            </w:r>
            <w:r w:rsidR="00BC2743">
              <w:rPr>
                <w:noProof/>
                <w:webHidden/>
              </w:rPr>
              <w:t>45</w:t>
            </w:r>
            <w:r w:rsidR="00F3327F">
              <w:rPr>
                <w:noProof/>
                <w:webHidden/>
              </w:rPr>
              <w:fldChar w:fldCharType="end"/>
            </w:r>
          </w:hyperlink>
        </w:p>
        <w:p w14:paraId="1B557B1C" w14:textId="3E1FF7C1" w:rsidR="00C942CA" w:rsidRDefault="00C942CA">
          <w:r>
            <w:rPr>
              <w:b/>
              <w:bCs/>
            </w:rPr>
            <w:fldChar w:fldCharType="end"/>
          </w:r>
        </w:p>
      </w:sdtContent>
    </w:sdt>
    <w:p w14:paraId="5FFBCD7C" w14:textId="77777777" w:rsidR="00641F39" w:rsidRDefault="00C942CA">
      <w:pPr>
        <w:rPr>
          <w:szCs w:val="20"/>
          <w:lang w:val="en-GB"/>
        </w:rPr>
        <w:sectPr w:rsidR="00641F39" w:rsidSect="00641F39">
          <w:footerReference w:type="default" r:id="rId10"/>
          <w:pgSz w:w="11906" w:h="16838"/>
          <w:pgMar w:top="1417" w:right="1417" w:bottom="1417" w:left="1417" w:header="708" w:footer="708" w:gutter="0"/>
          <w:pgNumType w:fmt="upperRoman" w:start="1"/>
          <w:cols w:space="708"/>
          <w:docGrid w:linePitch="360"/>
        </w:sectPr>
      </w:pPr>
      <w:r>
        <w:rPr>
          <w:szCs w:val="20"/>
          <w:lang w:val="en-GB"/>
        </w:rPr>
        <w:br w:type="page"/>
      </w:r>
    </w:p>
    <w:p w14:paraId="4CD6CC13" w14:textId="1166A82A" w:rsidR="00B03E48" w:rsidRPr="007303E9" w:rsidRDefault="00B03E48" w:rsidP="00A3542C">
      <w:pPr>
        <w:pStyle w:val="Kop1"/>
        <w:rPr>
          <w:lang w:val="en-GB"/>
        </w:rPr>
      </w:pPr>
      <w:bookmarkStart w:id="17" w:name="_Toc451961473"/>
      <w:r w:rsidRPr="007303E9">
        <w:rPr>
          <w:lang w:val="en-GB"/>
        </w:rPr>
        <w:lastRenderedPageBreak/>
        <w:t>Background</w:t>
      </w:r>
      <w:bookmarkEnd w:id="17"/>
    </w:p>
    <w:p w14:paraId="4C94A314" w14:textId="3491FFBD" w:rsidR="00AF5D9C" w:rsidRDefault="00AF5D9C" w:rsidP="00AF5D9C">
      <w:pPr>
        <w:pStyle w:val="Kop2"/>
        <w:rPr>
          <w:lang w:val="en-GB"/>
        </w:rPr>
      </w:pPr>
      <w:bookmarkStart w:id="18" w:name="_Toc451961474"/>
      <w:r>
        <w:rPr>
          <w:lang w:val="en-GB"/>
        </w:rPr>
        <w:t>Definitions</w:t>
      </w:r>
      <w:bookmarkEnd w:id="18"/>
    </w:p>
    <w:p w14:paraId="675FD5C8" w14:textId="191703F0" w:rsidR="004124CD" w:rsidRDefault="007303E9" w:rsidP="009C579F">
      <w:pPr>
        <w:spacing w:after="0" w:line="360" w:lineRule="auto"/>
        <w:jc w:val="both"/>
        <w:rPr>
          <w:lang w:val="en-GB"/>
        </w:rPr>
      </w:pPr>
      <w:r w:rsidRPr="00AF5D9C">
        <w:rPr>
          <w:b/>
          <w:lang w:val="en-GB"/>
        </w:rPr>
        <w:t>Gender dysphoria</w:t>
      </w:r>
      <w:r>
        <w:rPr>
          <w:lang w:val="en-GB"/>
        </w:rPr>
        <w:t xml:space="preserve"> (GD)</w:t>
      </w:r>
      <w:r w:rsidR="0092397E">
        <w:rPr>
          <w:lang w:val="en-GB"/>
        </w:rPr>
        <w:t xml:space="preserve"> is </w:t>
      </w:r>
      <w:r w:rsidR="00D33D68">
        <w:rPr>
          <w:lang w:val="en-GB"/>
        </w:rPr>
        <w:t xml:space="preserve">defined </w:t>
      </w:r>
      <w:r w:rsidR="0092397E">
        <w:rPr>
          <w:lang w:val="en-GB"/>
        </w:rPr>
        <w:t>as a</w:t>
      </w:r>
      <w:r>
        <w:rPr>
          <w:lang w:val="en-GB"/>
        </w:rPr>
        <w:t xml:space="preserve"> difference between the experienced or expressed gender and one's natal gender, which causes distress or impairment in important areas of functioning</w:t>
      </w:r>
      <w:r w:rsidR="001E1DDB">
        <w:rPr>
          <w:lang w:val="en-GB"/>
        </w:rPr>
        <w:t xml:space="preserve"> </w:t>
      </w:r>
      <w:r w:rsidR="001E1DDB">
        <w:rPr>
          <w:lang w:val="en-GB"/>
        </w:rPr>
        <w:fldChar w:fldCharType="begin" w:fldLock="1"/>
      </w:r>
      <w:r w:rsidR="00C7364E">
        <w:rPr>
          <w:lang w:val="en-GB"/>
        </w:rPr>
        <w:instrText>ADDIN CSL_CITATION { "citationItems" : [ { "id" : "ITEM-1", "itemData" : { "DOI" : "10.3109/09540261.2015.1091293", "ISSN" : "0954-0261", "author" : [ { "dropping-particle" : "", "family" : "F. Beek", "given" : "Titia", "non-dropping-particle" : "", "parse-names" : false, "suffix" : "" }, { "dropping-particle" : "", "family" : "Cohen-Kettenis", "given" : "Peggy T.", "non-dropping-particle" : "", "parse-names" : false, "suffix" : "" }, { "dropping-particle" : "", "family" : "Kreukels", "given" : "Baudewijntje P.C.", "non-dropping-particle" : "", "parse-names" : false, "suffix" : "" } ], "container-title" : "International Review of Psychiatry", "id" : "ITEM-1", "issue" : "1", "issued" : { "date-parts" : [ [ "2016" ] ] }, "page" : "5-12", "title" : "Gender incongruence/gender dysphoria and its classification history", "type" : "article-journal", "volume" : "28" }, "uris" : [ "http://www.mendeley.com/documents/?uuid=eb2ae2df-083e-49fb-acf5-b86a85bc46eb" ] } ], "mendeley" : { "formattedCitation" : "(1)", "plainTextFormattedCitation" : "(1)", "previouslyFormattedCitation" : "(1)" }, "properties" : { "noteIndex" : 0 }, "schema" : "https://github.com/citation-style-language/schema/raw/master/csl-citation.json" }</w:instrText>
      </w:r>
      <w:r w:rsidR="001E1DDB">
        <w:rPr>
          <w:lang w:val="en-GB"/>
        </w:rPr>
        <w:fldChar w:fldCharType="separate"/>
      </w:r>
      <w:r w:rsidR="001E1DDB" w:rsidRPr="001E1DDB">
        <w:rPr>
          <w:noProof/>
          <w:lang w:val="en-GB"/>
        </w:rPr>
        <w:t>(1)</w:t>
      </w:r>
      <w:r w:rsidR="001E1DDB">
        <w:rPr>
          <w:lang w:val="en-GB"/>
        </w:rPr>
        <w:fldChar w:fldCharType="end"/>
      </w:r>
      <w:r>
        <w:rPr>
          <w:lang w:val="en-GB"/>
        </w:rPr>
        <w:t xml:space="preserve">. </w:t>
      </w:r>
      <w:r w:rsidR="004124CD">
        <w:rPr>
          <w:lang w:val="en-GB"/>
        </w:rPr>
        <w:t xml:space="preserve">Over the years, a steady increase in the number of adolescents who present with GD has been noted worldwide </w:t>
      </w:r>
      <w:r w:rsidR="007A3EDC">
        <w:rPr>
          <w:lang w:val="en-GB"/>
        </w:rPr>
        <w:fldChar w:fldCharType="begin" w:fldLock="1"/>
      </w:r>
      <w:r w:rsidR="00C7364E">
        <w:rPr>
          <w:lang w:val="en-GB"/>
        </w:rPr>
        <w:instrText>ADDIN CSL_CITATION { "citationItems" : [ { "id" : "ITEM-1", "itemData" : { "DOI" : "10.1016/j.pcl.2015.04.013", "ISBN" : "9780323393508", "ISSN" : "00313955", "PMID" : "26210629", "author" : [ { "dropping-particle" : "", "family" : "Bonifacio", "given" : "Herbert J.", "non-dropping-particle" : "", "parse-names" : false, "suffix" : "" }, { "dropping-particle" : "", "family" : "Rosenthal", "given" : "Stephen M.", "non-dropping-particle" : "", "parse-names" : false, "suffix" : "" } ], "container-title" : "Pediatric Clinics of North America", "id" : "ITEM-1", "issue" : "4", "issued" : { "date-parts" : [ [ "2015" ] ] }, "page" : "1001-1016", "publisher" : "Elsevier Inc", "title" : "Gender Variance and Dysphoria in Children and Adolescents", "type" : "article-journal", "volume" : "62" }, "uris" : [ "http://www.mendeley.com/documents/?uuid=906ff9e6-3ca8-4207-a10b-2b0333fa6fc6" ] } ], "mendeley" : { "formattedCitation" : "(2)", "plainTextFormattedCitation" : "(2)", "previouslyFormattedCitation" : "(2)" }, "properties" : { "noteIndex" : 0 }, "schema" : "https://github.com/citation-style-language/schema/raw/master/csl-citation.json" }</w:instrText>
      </w:r>
      <w:r w:rsidR="007A3EDC">
        <w:rPr>
          <w:lang w:val="en-GB"/>
        </w:rPr>
        <w:fldChar w:fldCharType="separate"/>
      </w:r>
      <w:r w:rsidR="001E1DDB" w:rsidRPr="001E1DDB">
        <w:rPr>
          <w:noProof/>
          <w:lang w:val="en-GB"/>
        </w:rPr>
        <w:t>(2)</w:t>
      </w:r>
      <w:r w:rsidR="007A3EDC">
        <w:rPr>
          <w:lang w:val="en-GB"/>
        </w:rPr>
        <w:fldChar w:fldCharType="end"/>
      </w:r>
      <w:r w:rsidR="004124CD">
        <w:rPr>
          <w:lang w:val="en-GB"/>
        </w:rPr>
        <w:t xml:space="preserve">. Prevalence of </w:t>
      </w:r>
      <w:r w:rsidR="004124CD" w:rsidRPr="00AF5D9C">
        <w:rPr>
          <w:b/>
          <w:lang w:val="en-GB"/>
        </w:rPr>
        <w:t>gender incongruence</w:t>
      </w:r>
      <w:r w:rsidR="004124CD">
        <w:rPr>
          <w:lang w:val="en-GB"/>
        </w:rPr>
        <w:t xml:space="preserve"> (identifying more with one's non-natal gender) in men and women is estimated to be </w:t>
      </w:r>
      <w:r w:rsidR="0041485D">
        <w:rPr>
          <w:lang w:val="en-GB"/>
        </w:rPr>
        <w:t xml:space="preserve">respectively </w:t>
      </w:r>
      <w:r w:rsidR="004124CD">
        <w:rPr>
          <w:lang w:val="en-GB"/>
        </w:rPr>
        <w:t xml:space="preserve">0,7% and 0,6% in the Flemish population </w:t>
      </w:r>
      <w:r w:rsidR="007A3EDC">
        <w:rPr>
          <w:lang w:val="en-GB"/>
        </w:rPr>
        <w:fldChar w:fldCharType="begin" w:fldLock="1"/>
      </w:r>
      <w:r w:rsidR="00C7364E">
        <w:rPr>
          <w:lang w:val="en-GB"/>
        </w:rPr>
        <w:instrText>ADDIN CSL_CITATION { "citationItems" : [ { "id" : "ITEM-1", "itemData" : { "DOI" : "10.1007/s10508-014-0452-6", "ISSN" : "0004-0002", "PMID" : "25588709", "abstract" : "Gender nonconformity refers to the extent to which a person's gender identity, gender role and/or gender expression differs from the cultural norms prescribed for people of a particular sex, within a certain society and era. Most data on gender nonconformity focus on the prevalence of gender dysphoria (which also includes a distress factor) or on the number of legal sex changes. However, not every gender nonconforming individual experiences distress or applies for treatment. Population-based research on the broad spectrum of gender nonconformity is scarce and more information on the variance outside the gender binary is needed. This study aimed to examine the prevalence of gender incongruence (identifying stronger with the other sex than with the sex assigned at birth) and gender ambivalence (identifying equally with the other sex as with the sex assigned at birth) based on two population-based surveys, one of 1,832 Flemish persons and one of 2,472 sexual minority individuals in Flanders. In the general population, gender ambivalence was present in 2.2\u00a0% of male and 1.9\u00a0% of female participants, whereas gender incongruence was found in 0.7\u00a0% of men and 0.6\u00a0% of women. In sexual minority individuals, the prevalence of gender ambivalence and gender incongruence was 1.8 and 0.9\u00a0% in men and 4.1 and 2.1\u00a0% in women, respectively. With a current Flemish population of about 6 million, our results indicate a total of between 17,150 and 17,665 gender incongruent men and between 14,473 and 15,221 gender incongruent women in Flanders.", "author" : [ { "dropping-particle" : "", "family" : "Caenegem", "given" : "Eva", "non-dropping-particle" : "Van", "parse-names" : false, "suffix" : "" }, { "dropping-particle" : "", "family" : "Wierckx", "given" : "Katrien", "non-dropping-particle" : "", "parse-names" : false, "suffix" : "" }, { "dropping-particle" : "", "family" : "Elaut", "given" : "Els", "non-dropping-particle" : "", "parse-names" : false, "suffix" : "" }, { "dropping-particle" : "", "family" : "Buysse", "given" : "Ann", "non-dropping-particle" : "", "parse-names" : false, "suffix" : "" }, { "dropping-particle" : "", "family" : "Dewaele", "given" : "Alexis", "non-dropping-particle" : "", "parse-names" : false, "suffix" : "" }, { "dropping-particle" : "", "family" : "Nieuwerburgh", "given" : "Filip", "non-dropping-particle" : "Van", "parse-names" : false, "suffix" : "" }, { "dropping-particle" : "", "family" : "Cuypere", "given" : "Griet", "non-dropping-particle" : "De", "parse-names" : false, "suffix" : "" }, { "dropping-particle" : "", "family" : "T\u2019Sjoen", "given" : "Guy", "non-dropping-particle" : "", "parse-names" : false, "suffix" : "" } ], "container-title" : "Archives of Sexual Behavior", "id" : "ITEM-1", "issue" : "5", "issued" : { "date-parts" : [ [ "2015" ] ] }, "page" : "1281-1287", "publisher" : "Springer US", "title" : "Prevalence of Gender Nonconformity in Flanders, Belgium", "type" : "article-journal", "volume" : "44" }, "uris" : [ "http://www.mendeley.com/documents/?uuid=32b08dea-1692-4d3f-b009-ac764c8ca250" ] }, { "id" : "ITEM-2", "itemData" : { "DOI" : "10.2105/AJPH.2011.300315", "ISSN" : "0090-0036", "author" : [ { "dropping-particle" : "", "family" : "Conron", "given" : "Kerith J.", "non-dropping-particle" : "", "parse-names" : false, "suffix" : "" }, { "dropping-particle" : "", "family" : "Scott", "given" : "Gunner", "non-dropping-particle" : "", "parse-names" : false, "suffix" : "" }, { "dropping-particle" : "", "family" : "Stowell", "given" : "Grace Sterling", "non-dropping-particle" : "", "parse-names" : false, "suffix" : "" }, { "dropping-particle" : "", "family" : "Landers", "given" : "Stewart J.", "non-dropping-particle" : "", "parse-names" : false, "suffix" : "" } ], "container-title" : "American Journal of Public Health", "id" : "ITEM-2", "issue" : "1", "issued" : { "date-parts" : [ [ "2012" ] ] }, "page" : "118-122", "title" : "Transgender Health in Massachusetts: Results From a Household Probability Sample of Adults", "type" : "article-journal", "volume" : "102" }, "uris" : [ "http://www.mendeley.com/documents/?uuid=7787d458-6553-436b-b942-c1e2617cf097" ] } ], "mendeley" : { "formattedCitation" : "(3,4)", "manualFormatting" : "(2)", "plainTextFormattedCitation" : "(3,4)", "previouslyFormattedCitation" : "(3,4)" }, "properties" : { "noteIndex" : 0 }, "schema" : "https://github.com/citation-style-language/schema/raw/master/csl-citation.json" }</w:instrText>
      </w:r>
      <w:r w:rsidR="007A3EDC">
        <w:rPr>
          <w:lang w:val="en-GB"/>
        </w:rPr>
        <w:fldChar w:fldCharType="separate"/>
      </w:r>
      <w:r w:rsidR="004124CD">
        <w:rPr>
          <w:noProof/>
          <w:lang w:val="en-GB"/>
        </w:rPr>
        <w:t>(2</w:t>
      </w:r>
      <w:r w:rsidR="004124CD" w:rsidRPr="007D4CDA">
        <w:rPr>
          <w:noProof/>
          <w:lang w:val="en-GB"/>
        </w:rPr>
        <w:t>)</w:t>
      </w:r>
      <w:r w:rsidR="007A3EDC">
        <w:rPr>
          <w:lang w:val="en-GB"/>
        </w:rPr>
        <w:fldChar w:fldCharType="end"/>
      </w:r>
      <w:r w:rsidR="004124CD">
        <w:rPr>
          <w:lang w:val="en-GB"/>
        </w:rPr>
        <w:t>, which is similar to other populations</w:t>
      </w:r>
      <w:r w:rsidR="00106ADC">
        <w:rPr>
          <w:lang w:val="en-GB"/>
        </w:rPr>
        <w:t xml:space="preserve"> </w:t>
      </w:r>
      <w:r w:rsidR="007A3EDC">
        <w:rPr>
          <w:lang w:val="en-GB"/>
        </w:rPr>
        <w:fldChar w:fldCharType="begin" w:fldLock="1"/>
      </w:r>
      <w:r w:rsidR="00C7364E">
        <w:rPr>
          <w:lang w:val="en-GB"/>
        </w:rPr>
        <w:instrText>ADDIN CSL_CITATION { "citationItems" : [ { "id" : "ITEM-1", "itemData" : { "DOI" : "10.2105/AJPH.2011.300315", "ISSN" : "0090-0036", "author" : [ { "dropping-particle" : "", "family" : "Conron", "given" : "Kerith J.", "non-dropping-particle" : "", "parse-names" : false, "suffix" : "" }, { "dropping-particle" : "", "family" : "Scott", "given" : "Gunner", "non-dropping-particle" : "", "parse-names" : false, "suffix" : "" }, { "dropping-particle" : "", "family" : "Stowell", "given" : "Grace Sterling", "non-dropping-particle" : "", "parse-names" : false, "suffix" : "" }, { "dropping-particle" : "", "family" : "Landers", "given" : "Stewart J.", "non-dropping-particle" : "", "parse-names" : false, "suffix" : "" } ], "container-title" : "American Journal of Public Health", "id" : "ITEM-1", "issue" : "1", "issued" : { "date-parts" : [ [ "2012" ] ] }, "page" : "118-122", "title" : "Transgender Health in Massachusetts: Results From a Household Probability Sample of Adults", "type" : "article-journal", "volume" : "102" }, "uris" : [ "http://www.mendeley.com/documents/?uuid=7787d458-6553-436b-b942-c1e2617cf097" ] }, { "id" : "ITEM-2", "itemData" : { "DOI" : "10.1007/s10508-013-0140-y", "ISBN" : "1573-2800 (Electronic)\r0004-0002 (Linking)", "ISSN" : "00040002", "PMID" : "23857516", "abstract" : "Several studies estimate the prevalence of gender dysphoria among adults by examining the number of individuals turning to health services. Since individuals might be hesitant to seek medical care related to gender dysphoria, these studies could underestimate the prevalence. The studies also lack information regarding the variance among different aspects of gender dysphoric conditions. Therefore, the current study estimated the prevalence by examining self-reported gender identity and dysphoria in a Dutch population sample (N = 8,064, aged 15-70 years old). Three measures assessed aspects of gender dysphoria: gender identity, dislike of the natal female/male body, and wish to obtain hormones/sex reassignment surgery. Results showed that 4.6 % of the natal men and 3.2 % of the natal women reported an ambivalent gender identity (equal identification with other sex as with sex assigned at birth) and 1.1 % of the natal men and 0.8 % of the natal women reported an incongruent gender identity (stronger identification with other sex as with sex assigned at birth). Lower percentages reported a dislike of their natal body and/or a wish for hormones/surgery. Combining these figures estimated the percentage of men reporting an ambivalent or incongruent gender identity combined with a dislike of their male body and a wish to obtain hormones/surgery at 0.6 %. For women, this was 0.2 %. These novel findings show that studies based on the number of individuals seeking medical care might underestimate the prevalence of gender dysphoria. Furthermore, the findings argue against a dichotomous approach to gender dysphoria.", "author" : [ { "dropping-particle" : "", "family" : "Kuyper", "given" : "Lisette", "non-dropping-particle" : "", "parse-names" : false, "suffix" : "" }, { "dropping-particle" : "", "family" : "Wijsen", "given" : "Ciel", "non-dropping-particle" : "", "parse-names" : false, "suffix" : "" } ], "container-title" : "Archives of Sexual Behavior", "id" : "ITEM-2", "issued" : { "date-parts" : [ [ "2014" ] ] }, "page" : "377-385", "title" : "Gender identities and gender dysphoria in the Netherlands", "type" : "article-journal", "volume" : "43" }, "uris" : [ "http://www.mendeley.com/documents/?uuid=f6922bcc-1d53-44ec-ba35-f3ed134998de" ] } ], "mendeley" : { "formattedCitation" : "(4,5)", "plainTextFormattedCitation" : "(4,5)", "previouslyFormattedCitation" : "(4,5)" }, "properties" : { "noteIndex" : 0 }, "schema" : "https://github.com/citation-style-language/schema/raw/master/csl-citation.json" }</w:instrText>
      </w:r>
      <w:r w:rsidR="007A3EDC">
        <w:rPr>
          <w:lang w:val="en-GB"/>
        </w:rPr>
        <w:fldChar w:fldCharType="separate"/>
      </w:r>
      <w:r w:rsidR="001E1DDB" w:rsidRPr="001E1DDB">
        <w:rPr>
          <w:noProof/>
          <w:lang w:val="en-GB"/>
        </w:rPr>
        <w:t>(4,5)</w:t>
      </w:r>
      <w:r w:rsidR="007A3EDC">
        <w:rPr>
          <w:lang w:val="en-GB"/>
        </w:rPr>
        <w:fldChar w:fldCharType="end"/>
      </w:r>
      <w:r w:rsidR="004124CD">
        <w:rPr>
          <w:lang w:val="en-GB"/>
        </w:rPr>
        <w:t>.</w:t>
      </w:r>
    </w:p>
    <w:p w14:paraId="62995489" w14:textId="568BFDE1" w:rsidR="00A6470A" w:rsidRDefault="007303E9" w:rsidP="009C579F">
      <w:pPr>
        <w:spacing w:after="0" w:line="360" w:lineRule="auto"/>
        <w:jc w:val="both"/>
        <w:rPr>
          <w:lang w:val="en-GB"/>
        </w:rPr>
      </w:pPr>
      <w:r>
        <w:rPr>
          <w:lang w:val="en-GB"/>
        </w:rPr>
        <w:t xml:space="preserve">In an attempt of the American Psychiatric Association to reduce the stigma surrounding </w:t>
      </w:r>
      <w:r w:rsidR="00332912">
        <w:rPr>
          <w:lang w:val="en-GB"/>
        </w:rPr>
        <w:t>people who</w:t>
      </w:r>
      <w:r w:rsidR="0092397E">
        <w:rPr>
          <w:lang w:val="en-GB"/>
        </w:rPr>
        <w:t xml:space="preserve"> </w:t>
      </w:r>
      <w:r w:rsidR="00981EF5">
        <w:rPr>
          <w:lang w:val="en-GB"/>
        </w:rPr>
        <w:t>have</w:t>
      </w:r>
      <w:r w:rsidR="0092397E">
        <w:rPr>
          <w:lang w:val="en-GB"/>
        </w:rPr>
        <w:t xml:space="preserve"> GD, the emphasis has </w:t>
      </w:r>
      <w:r w:rsidR="00D33D68">
        <w:rPr>
          <w:lang w:val="en-GB"/>
        </w:rPr>
        <w:t xml:space="preserve">increasingly </w:t>
      </w:r>
      <w:r w:rsidR="0092397E">
        <w:rPr>
          <w:lang w:val="en-GB"/>
        </w:rPr>
        <w:t>been placed on the distress that people with GD experience in the most recent DSM-5 manual. Whether or not it has succeeded in its goals and if GD should be considered as a mental disorder at all</w:t>
      </w:r>
      <w:r w:rsidR="003A4DBE">
        <w:rPr>
          <w:lang w:val="en-GB"/>
        </w:rPr>
        <w:t>,</w:t>
      </w:r>
      <w:r w:rsidR="004124CD">
        <w:rPr>
          <w:lang w:val="en-GB"/>
        </w:rPr>
        <w:t xml:space="preserve"> is still under debate </w:t>
      </w:r>
      <w:r w:rsidR="007A3EDC">
        <w:rPr>
          <w:lang w:val="en-GB"/>
        </w:rPr>
        <w:fldChar w:fldCharType="begin" w:fldLock="1"/>
      </w:r>
      <w:r w:rsidR="00C7364E">
        <w:rPr>
          <w:lang w:val="en-GB"/>
        </w:rPr>
        <w:instrText>ADDIN CSL_CITATION { "citationItems" : [ { "id" : "ITEM-1", "itemData" : { "DOI" : "10.1007/s10508-015-0573-6", "ISSN" : "1573-2800 (Electronic)", "PMID" : "26054486", "abstract" : "In the DSM-5, there has been a change in the diagnosis for transpeople of all ages from Gender Identity Disorder (GID) to Gender Dysphoria (GD), in part to better indicate the distress that transpeople may experience when their gender identity feels incongruent. The Workgroup for Sexual and Gender Identity Disorders, chaired by Kenneth J. Zucker, was employed by the American Psychiatric Association (APA) to update the DSM-5's GID diagnosis reflecting contemporary scientific knowledge. Additionally, in a pre-publication report to the APA, members of the Workgroup suggested that they would also be concerned with the destigmatization of transpeople while preserving a diagnosis that medical insurance companies would accept for issuing payments for transitioning treatments (Drescher, 2013). The aims of this article are, firstly, to question whether changing the diagnosis lessens the stigmatization of transpeople. I will suggest that the semantic change from GID to GD marks \"inverted\" gendered expressions as pathological and, thus, continues to stigmatize transpeople. Secondly, the article explores the development of the GD diagnosis, and illustrates how the scientific data this were founded on are contentious. The article then demonstrates how the trans anti-pathologization movement has challenged the perceived pathologizing effects of the DSM-5 classification of GD. The article examines a selection of Western transgender community advocates' websites, forums, and blogs. From these sources, the article then explores the different narratives of transpeople and political groups who offer details of their praxis, and evidences how the trans anti-pathologization advocates use the available science and human rights discourses to contest the role of psychiatry in the treatment of transpeople.", "author" : [ { "dropping-particle" : "", "family" : "Davy", "given" : "Zowie", "non-dropping-particle" : "", "parse-names" : false, "suffix" : "" } ], "container-title" : "Archives of sexual behavior", "id" : "ITEM-1", "issue" : "5", "issued" : { "date-parts" : [ [ "2015" ] ] }, "page" : "1165-1176", "title" : "The DSM-5 and the Politics of Diagnosing Transpeople.", "type" : "article-journal", "volume" : "44" }, "uris" : [ "http://www.mendeley.com/documents/?uuid=38afed67-e299-4227-932c-268047953ce9" ] }, { "id" : "ITEM-2", "itemData" : { "DOI" : "10.1023/A:1011004431889", "ISSN" : "0360-0025", "abstract" : "Empirical studies were evaluated to determine whether Gender Identity Disorder (GID) in children meets the Diagnostic and Statistical Manual of Mental Disorders-4th Edition (DSM-IV, American Psychiatric Association, 1994) definitional criteria of mental disorder. Specifically, we examined whether GID in children is associated with (a) present distress; (b) present disability; (c) a significantly increased risk of suffering death, pain, disability, or an important loss of freedom; and if (d) GID represents dysfunction in the individual or is simply deviant behavior or a conflict between the individual and society. The evaluation indicates that children who experience a sense of inappropriateness in the culturally prescribed gender role of their sex but do not experience discomfort with their biological sex should not be considered to have GID. Because of flaws in the DSM-IV definition of mental disorder, and limitations of the current research base, there is insufficient evidence to make any conclusive statement regarding children who experience discomfort with their biological sex. The concluding recommendation is that, given current knowledge, the diagnostic category of GID in children in its current form should not appear in future editions of the DSM.", "author" : [ { "dropping-particle" : "", "family" : "Bartlett", "given" : "NH", "non-dropping-particle" : "", "parse-names" : false, "suffix" : "" }, { "dropping-particle" : "", "family" : "Vasey", "given" : "PL", "non-dropping-particle" : "", "parse-names" : false, "suffix" : "" }, { "dropping-particle" : "", "family" : "Bukowski", "given" : "WM", "non-dropping-particle" : "", "parse-names" : false, "suffix" : "" } ], "container-title" : "Sex Roles", "id" : "ITEM-2", "issue" : "2", "issued" : { "date-parts" : [ [ "2000" ] ] }, "page" : "753-785", "title" : "Is gender identity disorder in children a mental disorder?", "type" : "article-journal", "volume" : "43" }, "uris" : [ "http://www.mendeley.com/documents/?uuid=2bfe3f0f-130b-49af-9201-c15d13d010bc" ] }, { "id" : "ITEM-3", "itemData" : { "DOI" : "10.1007/s10508-009-9562-y", "ISBN" : "0004-0002", "ISSN" : "15732800", "PMID" : "19838784", "abstract" : "Apart from some general issues related to the Gender Identity Disorder (GID) diagnosis, such as whether it should stay in the DSM-V or not, a number of problems specifically relate to the current criteria of the GID diagnosis for adolescents and adults. These problems concern the confusion caused by similarities and differences of the terms transsexualism and GID, the inability of the current criteria to capture the whole spectrum of gender variance phenomena, the potential risk of unnecessary physically invasive examinations to rule out intersex conditions (disorders of sex development), the necessity of the D criterion (distress and impairment), and the fact that the diagnosis still applies to those who already had hormonal and surgical treatment. If the diagnosis should not be deleted from the DSM, most of the criticism could be addressed in the DSM-V if the diagnosis would be renamed, the criteria would be adjusted in wording, and made more stringent. However, this would imply that the diagnosis would still be dichotomous and similar to earlier DSM versions. Another option is to follow a more dimensional approach, allowing for different degrees of gender dysphoria depending on the number of indicators. Considering the strong resistance against sexuality related specifiers, and the relative difficulty assessing sexual orientation in individuals pursuing hormonal and surgical interventions to change physical sex characteristics, it should be investigated whether other potentially relevant specifiers (e.g., onset age) are more appropriate.", "author" : [ { "dropping-particle" : "", "family" : "Cohen-Kettenis", "given" : "Peggy T.", "non-dropping-particle" : "", "parse-names" : false, "suffix" : "" }, { "dropping-particle" : "", "family" : "Pf\u00e4fflin", "given" : "Friedemann", "non-dropping-particle" : "", "parse-names" : false, "suffix" : "" } ], "container-title" : "Archives of sexual behavior", "id" : "ITEM-3", "issued" : { "date-parts" : [ [ "2010" ] ] }, "page" : "499-513", "title" : "The DSM diagnostic criteria for gender identity disorder in adolescents and adults.", "type" : "article-journal", "volume" : "39" }, "uris" : [ "http://www.mendeley.com/documents/?uuid=720f8bb5-34cf-43af-9056-e0c746d0d7a0" ] } ], "mendeley" : { "formattedCitation" : "(6\u20138)", "plainTextFormattedCitation" : "(6\u20138)", "previouslyFormattedCitation" : "(6\u20138)" }, "properties" : { "noteIndex" : 0 }, "schema" : "https://github.com/citation-style-language/schema/raw/master/csl-citation.json" }</w:instrText>
      </w:r>
      <w:r w:rsidR="007A3EDC">
        <w:rPr>
          <w:lang w:val="en-GB"/>
        </w:rPr>
        <w:fldChar w:fldCharType="separate"/>
      </w:r>
      <w:r w:rsidR="001E1DDB" w:rsidRPr="001E1DDB">
        <w:rPr>
          <w:noProof/>
          <w:lang w:val="en-GB"/>
        </w:rPr>
        <w:t>(6–8)</w:t>
      </w:r>
      <w:r w:rsidR="007A3EDC">
        <w:rPr>
          <w:lang w:val="en-GB"/>
        </w:rPr>
        <w:fldChar w:fldCharType="end"/>
      </w:r>
      <w:r w:rsidR="0092397E">
        <w:rPr>
          <w:lang w:val="en-GB"/>
        </w:rPr>
        <w:t>.</w:t>
      </w:r>
      <w:r w:rsidR="00A6470A">
        <w:rPr>
          <w:lang w:val="en-GB"/>
        </w:rPr>
        <w:t xml:space="preserve"> The</w:t>
      </w:r>
      <w:r w:rsidR="00A6470A" w:rsidRPr="00545CCD">
        <w:rPr>
          <w:lang w:val="en-GB"/>
        </w:rPr>
        <w:t xml:space="preserve"> </w:t>
      </w:r>
      <w:r w:rsidR="00A6470A">
        <w:rPr>
          <w:lang w:val="en-GB"/>
        </w:rPr>
        <w:t xml:space="preserve">Endocrine Society clinical practice guideline, published in 2009, recommends medical treatment and psychological guidance of children and adolescents with GD </w:t>
      </w:r>
      <w:r w:rsidR="007A3EDC">
        <w:rPr>
          <w:lang w:val="en-GB"/>
        </w:rPr>
        <w:fldChar w:fldCharType="begin" w:fldLock="1"/>
      </w:r>
      <w:r w:rsidR="00C7364E">
        <w:rPr>
          <w:lang w:val="en-GB"/>
        </w:rPr>
        <w:instrText>ADDIN CSL_CITATION { "citationItems" : [ { "id" : "ITEM-1", "itemData" : { "DOI" : "10.1210/jc.2009-0345", "ISBN" : "0021-972X", "ISSN" : "0021-972X", "PMID" : "19509099", "abstract" : "OBJECTIVE: The aim was to formulate practice guidelines for endocrine treatment of transsexual persons. EVIDENCE: This evidence-based guideline was developed using the Grading of Recommendations, Assessment, Development, and Evaluation (GRADE) system to describe the strength of recommendations and the quality of evidence, which was low or very low. CONSENSUS PROCESS: Committees and members of The Endocrine Society, European Society of Endocrinology, European Society for Paediatric Endocrinology, Lawson Wilkins Pediatric Endocrine Society, and World Professional Association for Transgender Health commented on preliminary drafts of these guidelines. CONCLUSIONS: Transsexual persons seeking to develop the physical characteristics of the desired gender require a safe, effective hormone regimen that will 1) suppress endogenous hormone secretion determined by the person's genetic/biologic sex and 2) maintain sex hormone levels within the normal range for the person's desired gender. A mental health professional (MHP) must recommend endocrine treatment and participate in ongoing care throughout the endocrine transition and decision for surgical sex reassignment. The endocrinologist must confirm the diagnostic criteria the MHP used to make these recommendations. Because a diagnosis of transsexualism in a prepubertal child cannot be made with certainty, we do not recommend endocrine treatment of prepubertal children. We recommend treating transsexual adolescents (Tanner stage 2) by suppressing puberty with GnRH analogues until age 16 years old, after which cross-sex hormones may be given. We suggest suppressing endogenous sex hormones, maintaining physiologic levels of gender-appropriate sex hormones and monitoring for known risks in adult transsexual persons.", "author" : [ { "dropping-particle" : "", "family" : "Hembree", "given" : "Wylie C.", "non-dropping-particle" : "", "parse-names" : false, "suffix" : "" }, { "dropping-particle" : "", "family" : "Cohen-Kettenis", "given" : "Peggy", "non-dropping-particle" : "", "parse-names" : false, "suffix" : "" }, { "dropping-particle" : "", "family" : "Delemarre-Van De Waal", "given" : "Henriette A.", "non-dropping-particle" : "", "parse-names" : false, "suffix" : "" }, { "dropping-particle" : "", "family" : "Gooren", "given" : "Louis J.", "non-dropping-particle" : "", "parse-names" : false, "suffix" : "" }, { "dropping-particle" : "", "family" : "Meyer", "given" : "Walter J.", "non-dropping-particle" : "", "parse-names" : false, "suffix" : "" }, { "dropping-particle" : "", "family" : "Spack", "given" : "Norman P.", "non-dropping-particle" : "", "parse-names" : false, "suffix" : "" }, { "dropping-particle" : "", "family" : "Tangpricha", "given" : "Vin", "non-dropping-particle" : "", "parse-names" : false, "suffix" : "" }, { "dropping-particle" : "", "family" : "Montori", "given" : "Victor M.", "non-dropping-particle" : "", "parse-names" : false, "suffix" : "" } ], "container-title" : "The Journal of Clinical Endocrinology &amp; Metabolism", "id" : "ITEM-1", "issue" : "9", "issued" : { "date-parts" : [ [ "2009" ] ] }, "page" : "3132-3154", "title" : "Endocrine Treatment of Transsexual Persons:An Endocrine Society Clinical Practice Guideline", "type" : "article-journal", "volume" : "94" }, "uris" : [ "http://www.mendeley.com/documents/?uuid=bc5b1f05-c32d-4690-b85f-4556414dcb0d" ] } ], "mendeley" : { "formattedCitation" : "(9)", "plainTextFormattedCitation" : "(9)", "previouslyFormattedCitation" : "(9)" }, "properties" : { "noteIndex" : 0 }, "schema" : "https://github.com/citation-style-language/schema/raw/master/csl-citation.json" }</w:instrText>
      </w:r>
      <w:r w:rsidR="007A3EDC">
        <w:rPr>
          <w:lang w:val="en-GB"/>
        </w:rPr>
        <w:fldChar w:fldCharType="separate"/>
      </w:r>
      <w:r w:rsidR="001E1DDB" w:rsidRPr="001E1DDB">
        <w:rPr>
          <w:noProof/>
          <w:lang w:val="en-GB"/>
        </w:rPr>
        <w:t>(9)</w:t>
      </w:r>
      <w:r w:rsidR="007A3EDC">
        <w:rPr>
          <w:lang w:val="en-GB"/>
        </w:rPr>
        <w:fldChar w:fldCharType="end"/>
      </w:r>
      <w:r w:rsidR="00A6470A">
        <w:rPr>
          <w:lang w:val="en-GB"/>
        </w:rPr>
        <w:t>.</w:t>
      </w:r>
    </w:p>
    <w:p w14:paraId="7C6F18D4" w14:textId="252D7DE8" w:rsidR="00AF5D9C" w:rsidRDefault="00AF5D9C" w:rsidP="00AF5D9C">
      <w:pPr>
        <w:pStyle w:val="Kop2"/>
        <w:rPr>
          <w:lang w:val="en-GB"/>
        </w:rPr>
      </w:pPr>
      <w:bookmarkStart w:id="19" w:name="_Toc451961475"/>
      <w:r>
        <w:rPr>
          <w:lang w:val="en-GB"/>
        </w:rPr>
        <w:t>Puberty suppression</w:t>
      </w:r>
      <w:bookmarkEnd w:id="19"/>
    </w:p>
    <w:p w14:paraId="763782E6" w14:textId="5FBC41E6" w:rsidR="00D454A6" w:rsidRDefault="00A6470A" w:rsidP="009C579F">
      <w:pPr>
        <w:spacing w:after="0" w:line="360" w:lineRule="auto"/>
        <w:jc w:val="both"/>
        <w:rPr>
          <w:lang w:val="en-GB"/>
        </w:rPr>
      </w:pPr>
      <w:r>
        <w:rPr>
          <w:lang w:val="en-GB"/>
        </w:rPr>
        <w:t>Because GD will persist after puberty in only a minority of the children presenting with GD, medical treatment i.e. puberty suppression is best started after the first physical signs of puberty</w:t>
      </w:r>
      <w:r w:rsidR="004124CD">
        <w:rPr>
          <w:lang w:val="en-GB"/>
        </w:rPr>
        <w:t xml:space="preserve"> </w:t>
      </w:r>
      <w:r w:rsidR="007A3EDC">
        <w:rPr>
          <w:lang w:val="en-GB"/>
        </w:rPr>
        <w:fldChar w:fldCharType="begin" w:fldLock="1"/>
      </w:r>
      <w:r w:rsidR="00C7364E">
        <w:rPr>
          <w:lang w:val="en-GB"/>
        </w:rPr>
        <w:instrText>ADDIN CSL_CITATION { "citationItems" : [ { "id" : "ITEM-1", "itemData" : { "DOI" : "10.1038/nrendo.2011.78", "ISBN" : "1759-5029", "ISSN" : "1759-5037", "PMID" : "21587245", "abstract" : "The use of gonadotropin-releasing hormone analogs (GnRHa) to suppress puberty in adolescents with gender dysphoria is a fairly new intervention in the field of gender identity disorders or transsexualism. GnRHa are used to give adolescents time to make balanced decisions on any further treatment steps, and to obtain improved results in the physical appearance of those who opt to continue with sex reassignment. The effects of GnRHa are reversible. However, concerns have been raised about the risk of making the wrong treatment decisions, as gender identity could fluctuate during adolescence, adolescents in general might have poor decision-making abilities, and there are potential adverse effects on health and on psychological and psychosexual functioning. Proponents of puberty suppression emphasize the beneficial effects of GnRHa on the adolescents' mental health, quality of life and of having a physical appearance that makes it possible for the patients to live unobtrusively in their desired gender role. In this Review, we discuss the evidence pertaining to the debate on the effects of GnRHa treatment. From the studies that have been published thus far, it seems that the benefits outweigh the risks. However, more systematic research in this area is needed to determine the safety of this approach.", "author" : [ { "dropping-particle" : "", "family" : "Kreukels", "given" : "Baudewijntje P C", "non-dropping-particle" : "", "parse-names" : false, "suffix" : "" }, { "dropping-particle" : "", "family" : "Cohen-Kettenis", "given" : "Peggy T", "non-dropping-particle" : "", "parse-names" : false, "suffix" : "" } ], "container-title" : "Nature reviews. Endocrinology", "id" : "ITEM-1", "issue" : "8", "issued" : { "date-parts" : [ [ "2011" ] ] }, "page" : "466-72", "title" : "Puberty suppression in gender identity disorder: the Amsterdam experience.", "type" : "article-journal", "volume" : "7" }, "uris" : [ "http://www.mendeley.com/documents/?uuid=5d8d662c-0928-4541-a37a-b7f4a95d054d" ] }, { "id" : "ITEM-2", "itemData" : { "DOI" : "10.1097/CHI.0b013e31818956b9", "ISBN" : "0890-8567\\n1527-5418", "ISSN" : "1527-5418", "PMID" : "18981931", "abstract" : "OBJECTIVE: To establish the psychosexual outcome of gender-dysphoric children at 16 years or older and to examine childhood characteristics related to psychosexual outcome.\\n\\nMETHOD: We studied 77 children who had been referred in childhood to our clinic because of gender dysphoria (59 boys, 18 girls; mean age 8.4 years, age range 5-12 years). In childhood, we measured the children's cross-gender identification and discomfort with their own sex and gender roles. At follow-up 10.4 +/- 3.4 years later, 54 children (mean age 18.9 years, age range 16-28 years) agreed to participate. In this group, we assessed gender dysphoria and sexual orientation.\\n\\nRESULTS: At follow-up, 30% of the 77 participants (19 boys and 4 girls) did not respond to our recruiting letter or were not traceable; 27% (12 boys and 9 girls) were still gender dysphoric (persistence group), and 43% (desistance group: 28 boys and 5 girls) were no longer gender dysphoric. Both boys and girls in the persistence group were more extremely cross-gendered in behavior and feelings and were more likely to fulfill gender identity disorder (GID) criteria in childhood than the children in the other two groups. At follow-up, nearly all male and female participants in the persistence group reported having a homosexual or bisexual sexual orientation. In the desistance group, all of the girls and half of the boys reported having a heterosexual orientation. The other half of the boys in the desistance group had a homosexual or bisexual sexual orientation.\\n\\nCONCLUSIONS: Most children with gender dysphoria will not remain gender dysphoric after puberty. Children with persistent GID are characterized by more extreme gender dysphoria in childhood than children with desisting gender dysphoria. With regard to sexual orientation, the most likely outcome of childhood GID is homosexuality or bisexuality.", "author" : [ { "dropping-particle" : "", "family" : "Wallien", "given" : "Madeleine S C", "non-dropping-particle" : "", "parse-names" : false, "suffix" : "" }, { "dropping-particle" : "", "family" : "Cohen-Kettenis", "given" : "Peggy T", "non-dropping-particle" : "", "parse-names" : false, "suffix" : "" } ], "container-title" : "Journal of the American Academy of Child and Adolescent Psychiatry", "id" : "ITEM-2", "issue" : "12", "issued" : { "date-parts" : [ [ "2008" ] ] }, "page" : "1413-23", "title" : "Psychosexual outcome of gender-dysphoric children.", "type" : "article-journal", "volume" : "47" }, "uris" : [ "http://www.mendeley.com/documents/?uuid=54ae0468-2914-4e93-91b7-99ad6d9b3670" ] } ], "mendeley" : { "formattedCitation" : "(10,11)", "plainTextFormattedCitation" : "(10,11)", "previouslyFormattedCitation" : "(10,11)" }, "properties" : { "noteIndex" : 0 }, "schema" : "https://github.com/citation-style-language/schema/raw/master/csl-citation.json" }</w:instrText>
      </w:r>
      <w:r w:rsidR="007A3EDC">
        <w:rPr>
          <w:lang w:val="en-GB"/>
        </w:rPr>
        <w:fldChar w:fldCharType="separate"/>
      </w:r>
      <w:r w:rsidR="001E1DDB" w:rsidRPr="001E1DDB">
        <w:rPr>
          <w:noProof/>
          <w:lang w:val="en-GB"/>
        </w:rPr>
        <w:t>(10,11)</w:t>
      </w:r>
      <w:r w:rsidR="007A3EDC">
        <w:rPr>
          <w:lang w:val="en-GB"/>
        </w:rPr>
        <w:fldChar w:fldCharType="end"/>
      </w:r>
      <w:r>
        <w:rPr>
          <w:lang w:val="en-GB"/>
        </w:rPr>
        <w:t>. At the onset of puberty, the reaction of the adolescent to the first bodily change</w:t>
      </w:r>
      <w:r w:rsidR="006F620C">
        <w:rPr>
          <w:lang w:val="en-GB"/>
        </w:rPr>
        <w:t>s, under the form of increasing</w:t>
      </w:r>
      <w:r>
        <w:rPr>
          <w:lang w:val="en-GB"/>
        </w:rPr>
        <w:t xml:space="preserve"> aversion of their biological sex which will enhance GD, often provides additional diagnostic evidence </w:t>
      </w:r>
      <w:r w:rsidR="007A3EDC">
        <w:rPr>
          <w:lang w:val="en-GB"/>
        </w:rPr>
        <w:fldChar w:fldCharType="begin" w:fldLock="1"/>
      </w:r>
      <w:r w:rsidR="00C7364E">
        <w:rPr>
          <w:lang w:val="en-GB"/>
        </w:rPr>
        <w:instrText>ADDIN CSL_CITATION { "citationItems" : [ { "id" : "ITEM-1", "itemData" : { "DOI" : "10.1007/s007870050073", "ISBN" : "1018-8827", "ISSN" : "1018-8827", "PMID" : "9879847", "abstract" : "Early cross-sex hormonal interventions (that is, between 16 and 18) as a treatment for young transsexuals are often considered to be risky. However, the delay of such treatment until after the development of secondary sex characteristics has obvious drawbacks for transsexual individuals. This paper reports a postoperative follow-up case-study of a female-to-male transsexual who was treated with a combination of an LHRH agonist (which delayed her secondary sex characteristics development) and psychotherapy at age 13, and subsequently underwent sex reassignment at 18.", "author" : [ { "dropping-particle" : "", "family" : "Cohen-Kettenis", "given" : "P T", "non-dropping-particle" : "", "parse-names" : false, "suffix" : "" }, { "dropping-particle" : "", "family" : "Goozen", "given" : "S H", "non-dropping-particle" : "van", "parse-names" : false, "suffix" : "" } ], "container-title" : "European child &amp; adolescent psychiatry", "id" : "ITEM-1", "issue" : "4", "issued" : { "date-parts" : [ [ "1998" ] ] }, "page" : "246-8", "title" : "Pubertal delay as an aid in diagnosis and treatment of a transsexual adolescent.", "type" : "article-journal", "volume" : "7" }, "uris" : [ "http://www.mendeley.com/documents/?uuid=ebec811a-8451-4504-9954-bbc7392090d4" ] } ], "mendeley" : { "formattedCitation" : "(12)", "plainTextFormattedCitation" : "(12)", "previouslyFormattedCitation" : "(12)" }, "properties" : { "noteIndex" : 0 }, "schema" : "https://github.com/citation-style-language/schema/raw/master/csl-citation.json" }</w:instrText>
      </w:r>
      <w:r w:rsidR="007A3EDC">
        <w:rPr>
          <w:lang w:val="en-GB"/>
        </w:rPr>
        <w:fldChar w:fldCharType="separate"/>
      </w:r>
      <w:r w:rsidR="001E1DDB" w:rsidRPr="001E1DDB">
        <w:rPr>
          <w:noProof/>
          <w:lang w:val="en-GB"/>
        </w:rPr>
        <w:t>(12)</w:t>
      </w:r>
      <w:r w:rsidR="007A3EDC">
        <w:rPr>
          <w:lang w:val="en-GB"/>
        </w:rPr>
        <w:fldChar w:fldCharType="end"/>
      </w:r>
      <w:r>
        <w:rPr>
          <w:lang w:val="en-GB"/>
        </w:rPr>
        <w:t xml:space="preserve">. </w:t>
      </w:r>
      <w:r w:rsidR="00AA0CD2">
        <w:rPr>
          <w:lang w:val="en-GB"/>
        </w:rPr>
        <w:t xml:space="preserve">If GD persists, the adolescent </w:t>
      </w:r>
      <w:r>
        <w:rPr>
          <w:lang w:val="en-GB"/>
        </w:rPr>
        <w:t xml:space="preserve">will be eligible for medical treatment aimed at suppressing puberty and/or attenuating its physical symptoms </w:t>
      </w:r>
      <w:r w:rsidR="007A3EDC">
        <w:rPr>
          <w:lang w:val="en-GB"/>
        </w:rPr>
        <w:fldChar w:fldCharType="begin" w:fldLock="1"/>
      </w:r>
      <w:r w:rsidR="002C52CA">
        <w:rPr>
          <w:lang w:val="en-GB"/>
        </w:rPr>
        <w:instrText>ADDIN CSL_CITATION { "citationItems" : [ { "id" : "ITEM-1", "itemData" : { "DOI" : "10.1097/01.med.0000436193.33470.1f", "ISSN" : "1752-296X", "author" : [ { "dropping-particle" : "", "family" : "Hembree", "given" : "Wylie C.", "non-dropping-particle" : "", "parse-names" : false, "suffix" : "" } ], "container-title" : "Current Opinion in Endocrinology &amp; Diabetes and Obesity", "id" : "ITEM-1", "issue" : "6", "issued" : { "date-parts" : [ [ "2013" ] ] }, "page" : "559-564", "title" : "Management of juvenile gender dysphoria", "type" : "article-journal", "volume" : "20" }, "uris" : [ "http://www.mendeley.com/documents/?uuid=5c474685-9241-47ab-aac6-f2e8d081a66e" ] }, { "id" : "ITEM-2", "itemData" : { "DOI" : "10.1210/jc.2009-0345", "ISBN" : "0021-972X", "ISSN" : "0021-972X", "PMID" : "19509099", "abstract" : "OBJECTIVE: The aim was to formulate practice guidelines for endocrine treatment of transsexual persons. EVIDENCE: This evidence-based guideline was developed using the Grading of Recommendations, Assessment, Development, and Evaluation (GRADE) system to describe the strength of recommendations and the quality of evidence, which was low or very low. CONSENSUS PROCESS: Committees and members of The Endocrine Society, European Society of Endocrinology, European Society for Paediatric Endocrinology, Lawson Wilkins Pediatric Endocrine Society, and World Professional Association for Transgender Health commented on preliminary drafts of these guidelines. CONCLUSIONS: Transsexual persons seeking to develop the physical characteristics of the desired gender require a safe, effective hormone regimen that will 1) suppress endogenous hormone secretion determined by the person's genetic/biologic sex and 2) maintain sex hormone levels within the normal range for the person's desired gender. A mental health professional (MHP) must recommend endocrine treatment and participate in ongoing care throughout the endocrine transition and decision for surgical sex reassignment. The endocrinologist must confirm the diagnostic criteria the MHP used to make these recommendations. Because a diagnosis of transsexualism in a prepubertal child cannot be made with certainty, we do not recommend endocrine treatment of prepubertal children. We recommend treating transsexual adolescents (Tanner stage 2) by suppressing puberty with GnRH analogues until age 16 years old, after which cross-sex hormones may be given. We suggest suppressing endogenous sex hormones, maintaining physiologic levels of gender-appropriate sex hormones and monitoring for known risks in adult transsexual persons.", "author" : [ { "dropping-particle" : "", "family" : "Hembree", "given" : "Wylie C.", "non-dropping-particle" : "", "parse-names" : false, "suffix" : "" }, { "dropping-particle" : "", "family" : "Cohen-Kettenis", "given" : "Peggy", "non-dropping-particle" : "", "parse-names" : false, "suffix" : "" }, { "dropping-particle" : "", "family" : "Delemarre-Van De Waal", "given" : "Henriette A.", "non-dropping-particle" : "", "parse-names" : false, "suffix" : "" }, { "dropping-particle" : "", "family" : "Gooren", "given" : "Louis J.", "non-dropping-particle" : "", "parse-names" : false, "suffix" : "" }, { "dropping-particle" : "", "family" : "Meyer", "given" : "Walter J.", "non-dropping-particle" : "", "parse-names" : false, "suffix" : "" }, { "dropping-particle" : "", "family" : "Spack", "given" : "Norman P.", "non-dropping-particle" : "", "parse-names" : false, "suffix" : "" }, { "dropping-particle" : "", "family" : "Tangpricha", "given" : "Vin", "non-dropping-particle" : "", "parse-names" : false, "suffix" : "" }, { "dropping-particle" : "", "family" : "Montori", "given" : "Victor M.", "non-dropping-particle" : "", "parse-names" : false, "suffix" : "" } ], "container-title" : "The Journal of Clinical Endocrinology &amp; Metabolism", "id" : "ITEM-2", "issue" : "9", "issued" : { "date-parts" : [ [ "2009" ] ] }, "page" : "3132-3154", "title" : "Endocrine Treatment of Transsexual Persons:An Endocrine Society Clinical Practice Guideline", "type" : "article-journal", "volume" : "94" }, "uris" : [ "http://www.mendeley.com/documents/?uuid=bc5b1f05-c32d-4690-b85f-4556414dcb0d" ] } ], "mendeley" : { "formattedCitation" : "(9,13)", "plainTextFormattedCitation" : "(9,13)", "previouslyFormattedCitation" : "(9,13)" }, "properties" : { "noteIndex" : 0 }, "schema" : "https://github.com/citation-style-language/schema/raw/master/csl-citation.json" }</w:instrText>
      </w:r>
      <w:r w:rsidR="007A3EDC">
        <w:rPr>
          <w:lang w:val="en-GB"/>
        </w:rPr>
        <w:fldChar w:fldCharType="separate"/>
      </w:r>
      <w:r w:rsidR="00C7364E" w:rsidRPr="00C7364E">
        <w:rPr>
          <w:noProof/>
          <w:lang w:val="en-GB"/>
        </w:rPr>
        <w:t>(9,13)</w:t>
      </w:r>
      <w:r w:rsidR="007A3EDC">
        <w:rPr>
          <w:lang w:val="en-GB"/>
        </w:rPr>
        <w:fldChar w:fldCharType="end"/>
      </w:r>
      <w:r>
        <w:rPr>
          <w:lang w:val="en-GB"/>
        </w:rPr>
        <w:t>, a decision which is to be made by an experienced multidisciplinary team</w:t>
      </w:r>
      <w:r w:rsidR="005A368E">
        <w:rPr>
          <w:lang w:val="en-GB"/>
        </w:rPr>
        <w:t>, which in our center consists of a child psychologist</w:t>
      </w:r>
      <w:r w:rsidR="00D454A6">
        <w:rPr>
          <w:lang w:val="en-GB"/>
        </w:rPr>
        <w:t xml:space="preserve">, </w:t>
      </w:r>
      <w:r w:rsidR="005A368E">
        <w:rPr>
          <w:lang w:val="en-GB"/>
        </w:rPr>
        <w:t xml:space="preserve"> </w:t>
      </w:r>
      <w:r w:rsidR="00D454A6">
        <w:rPr>
          <w:lang w:val="en-GB"/>
        </w:rPr>
        <w:t>a</w:t>
      </w:r>
      <w:r w:rsidR="005A368E">
        <w:rPr>
          <w:lang w:val="en-GB"/>
        </w:rPr>
        <w:t xml:space="preserve"> </w:t>
      </w:r>
      <w:r w:rsidR="00D454A6">
        <w:rPr>
          <w:lang w:val="en-GB"/>
        </w:rPr>
        <w:t xml:space="preserve">child </w:t>
      </w:r>
      <w:r w:rsidR="005A368E">
        <w:rPr>
          <w:lang w:val="en-GB"/>
        </w:rPr>
        <w:t>psychiatrist</w:t>
      </w:r>
      <w:r w:rsidR="00D454A6">
        <w:rPr>
          <w:lang w:val="en-GB"/>
        </w:rPr>
        <w:t xml:space="preserve"> </w:t>
      </w:r>
      <w:r w:rsidR="00AF5D9C">
        <w:rPr>
          <w:lang w:val="en-GB"/>
        </w:rPr>
        <w:t>and a pediatric endocrinologist.</w:t>
      </w:r>
    </w:p>
    <w:p w14:paraId="2AC6B8B5" w14:textId="39C4081F" w:rsidR="00D454A6" w:rsidRDefault="00D454A6" w:rsidP="009C579F">
      <w:pPr>
        <w:spacing w:after="0" w:line="360" w:lineRule="auto"/>
        <w:jc w:val="both"/>
        <w:rPr>
          <w:lang w:val="en-GB"/>
        </w:rPr>
      </w:pPr>
      <w:r>
        <w:rPr>
          <w:lang w:val="en-GB"/>
        </w:rPr>
        <w:t>D</w:t>
      </w:r>
      <w:r w:rsidR="00A6470A">
        <w:rPr>
          <w:lang w:val="en-GB"/>
        </w:rPr>
        <w:t xml:space="preserve">elaying puberty </w:t>
      </w:r>
      <w:r>
        <w:rPr>
          <w:lang w:val="en-GB"/>
        </w:rPr>
        <w:t>has long been</w:t>
      </w:r>
      <w:r w:rsidR="00A6470A">
        <w:rPr>
          <w:lang w:val="en-GB"/>
        </w:rPr>
        <w:t xml:space="preserve"> controversial. The general consensus nowadays tends to be that the advantages of reducing psychological burden, </w:t>
      </w:r>
      <w:r w:rsidR="006F620C">
        <w:rPr>
          <w:lang w:val="en-GB"/>
        </w:rPr>
        <w:t>providing</w:t>
      </w:r>
      <w:r w:rsidR="00A6470A">
        <w:rPr>
          <w:lang w:val="en-GB"/>
        </w:rPr>
        <w:t xml:space="preserve"> time to explore gender identity and decreasing the need for (and </w:t>
      </w:r>
      <w:r w:rsidR="00A6470A" w:rsidRPr="00D62C25">
        <w:rPr>
          <w:lang w:val="en-GB"/>
        </w:rPr>
        <w:t>extent of) l</w:t>
      </w:r>
      <w:r w:rsidR="00A6470A">
        <w:rPr>
          <w:lang w:val="en-GB"/>
        </w:rPr>
        <w:t>ater sex reassignment surgery</w:t>
      </w:r>
      <w:r w:rsidR="00074F02">
        <w:rPr>
          <w:lang w:val="en-GB"/>
        </w:rPr>
        <w:t xml:space="preserve"> (SRS)</w:t>
      </w:r>
      <w:r w:rsidR="00A6470A">
        <w:rPr>
          <w:lang w:val="en-GB"/>
        </w:rPr>
        <w:t xml:space="preserve"> </w:t>
      </w:r>
      <w:r w:rsidR="007A3EDC">
        <w:rPr>
          <w:lang w:val="en-GB"/>
        </w:rPr>
        <w:fldChar w:fldCharType="begin" w:fldLock="1"/>
      </w:r>
      <w:r w:rsidR="00C7364E">
        <w:rPr>
          <w:lang w:val="en-GB"/>
        </w:rPr>
        <w:instrText>ADDIN CSL_CITATION { "citationItems" : [ { "id" : "ITEM-1", "itemData" : { "DOI" : "10.1038/nrendo.2011.78", "ISBN" : "1759-5029", "ISSN" : "1759-5037", "PMID" : "21587245", "abstract" : "The use of gonadotropin-releasing hormone analogs (GnRHa) to suppress puberty in adolescents with gender dysphoria is a fairly new intervention in the field of gender identity disorders or transsexualism. GnRHa are used to give adolescents time to make balanced decisions on any further treatment steps, and to obtain improved results in the physical appearance of those who opt to continue with sex reassignment. The effects of GnRHa are reversible. However, concerns have been raised about the risk of making the wrong treatment decisions, as gender identity could fluctuate during adolescence, adolescents in general might have poor decision-making abilities, and there are potential adverse effects on health and on psychological and psychosexual functioning. Proponents of puberty suppression emphasize the beneficial effects of GnRHa on the adolescents' mental health, quality of life and of having a physical appearance that makes it possible for the patients to live unobtrusively in their desired gender role. In this Review, we discuss the evidence pertaining to the debate on the effects of GnRHa treatment. From the studies that have been published thus far, it seems that the benefits outweigh the risks. However, more systematic research in this area is needed to determine the safety of this approach.", "author" : [ { "dropping-particle" : "", "family" : "Kreukels", "given" : "Baudewijntje P C", "non-dropping-particle" : "", "parse-names" : false, "suffix" : "" }, { "dropping-particle" : "", "family" : "Cohen-Kettenis", "given" : "Peggy T", "non-dropping-particle" : "", "parse-names" : false, "suffix" : "" } ], "container-title" : "Nature reviews. Endocrinology", "id" : "ITEM-1", "issue" : "8", "issued" : { "date-parts" : [ [ "2011" ] ] }, "page" : "466-72", "title" : "Puberty suppression in gender identity disorder: the Amsterdam experience.", "type" : "article-journal", "volume" : "7" }, "uris" : [ "http://www.mendeley.com/documents/?uuid=5d8d662c-0928-4541-a37a-b7f4a95d054d" ] } ], "mendeley" : { "formattedCitation" : "(10)", "plainTextFormattedCitation" : "(10)", "previouslyFormattedCitation" : "(10)" }, "properties" : { "noteIndex" : 0 }, "schema" : "https://github.com/citation-style-language/schema/raw/master/csl-citation.json" }</w:instrText>
      </w:r>
      <w:r w:rsidR="007A3EDC">
        <w:rPr>
          <w:lang w:val="en-GB"/>
        </w:rPr>
        <w:fldChar w:fldCharType="separate"/>
      </w:r>
      <w:r w:rsidR="001E1DDB" w:rsidRPr="001E1DDB">
        <w:rPr>
          <w:noProof/>
          <w:lang w:val="en-GB"/>
        </w:rPr>
        <w:t>(10)</w:t>
      </w:r>
      <w:r w:rsidR="007A3EDC">
        <w:rPr>
          <w:lang w:val="en-GB"/>
        </w:rPr>
        <w:fldChar w:fldCharType="end"/>
      </w:r>
      <w:r w:rsidR="00A6470A" w:rsidRPr="00D62C25">
        <w:rPr>
          <w:lang w:val="en-GB"/>
        </w:rPr>
        <w:t xml:space="preserve"> outweigh the disadvantages.</w:t>
      </w:r>
      <w:r w:rsidR="0048448A">
        <w:rPr>
          <w:lang w:val="en-GB"/>
        </w:rPr>
        <w:t xml:space="preserve"> </w:t>
      </w:r>
      <w:r w:rsidR="00F85A3C">
        <w:rPr>
          <w:lang w:val="en-GB"/>
        </w:rPr>
        <w:t>A</w:t>
      </w:r>
      <w:r w:rsidR="00074F02">
        <w:rPr>
          <w:lang w:val="en-GB"/>
        </w:rPr>
        <w:t xml:space="preserve"> recent,</w:t>
      </w:r>
      <w:r w:rsidR="00F85A3C">
        <w:rPr>
          <w:lang w:val="en-GB"/>
        </w:rPr>
        <w:t xml:space="preserve"> </w:t>
      </w:r>
      <w:r w:rsidR="00DE6B53">
        <w:rPr>
          <w:lang w:val="en-GB"/>
        </w:rPr>
        <w:t>long-term follow-up study</w:t>
      </w:r>
      <w:r w:rsidR="00F85A3C">
        <w:rPr>
          <w:lang w:val="en-GB"/>
        </w:rPr>
        <w:t xml:space="preserve"> revealed that suppression of puberty </w:t>
      </w:r>
      <w:r w:rsidR="007E1BBF">
        <w:rPr>
          <w:lang w:val="en-GB"/>
        </w:rPr>
        <w:t>positively</w:t>
      </w:r>
      <w:r w:rsidR="00F85A3C">
        <w:rPr>
          <w:lang w:val="en-GB"/>
        </w:rPr>
        <w:t xml:space="preserve"> impact</w:t>
      </w:r>
      <w:r w:rsidR="007E1BBF">
        <w:rPr>
          <w:lang w:val="en-GB"/>
        </w:rPr>
        <w:t>s</w:t>
      </w:r>
      <w:r w:rsidR="00F85A3C">
        <w:rPr>
          <w:lang w:val="en-GB"/>
        </w:rPr>
        <w:t xml:space="preserve"> the psychological outcome of trans</w:t>
      </w:r>
      <w:r w:rsidR="00493539">
        <w:rPr>
          <w:lang w:val="en-GB"/>
        </w:rPr>
        <w:t>gender</w:t>
      </w:r>
      <w:r w:rsidR="00F85A3C">
        <w:rPr>
          <w:lang w:val="en-GB"/>
        </w:rPr>
        <w:t xml:space="preserve"> individuals</w:t>
      </w:r>
      <w:r w:rsidR="00DE6B53">
        <w:rPr>
          <w:lang w:val="en-GB"/>
        </w:rPr>
        <w:t xml:space="preserve"> </w:t>
      </w:r>
      <w:r w:rsidR="00DE6B53">
        <w:rPr>
          <w:lang w:val="en-GB"/>
        </w:rPr>
        <w:fldChar w:fldCharType="begin" w:fldLock="1"/>
      </w:r>
      <w:r w:rsidR="002C52CA">
        <w:rPr>
          <w:lang w:val="en-GB"/>
        </w:rPr>
        <w:instrText>ADDIN CSL_CITATION { "citationItems" : [ { "id" : "ITEM-1", "itemData" : { "DOI" : "10.1542/peds.2013-2958", "ISSN" : "1098-4275", "abstract" : "WHAT'S KNOWN ON THIS SUBJECT: Puberty suppression has rapidly become part of the standard clinical management protocols for transgender adolescents. To date, there is only limited evidence for the long-term effectiveness of this approach after gender reassignment (cross-sex hormones and surgery). WHAT THIS STUDY ADDS: In young adulthood, gender dysphoria had resolved, psychological functioning had steadily improved, and well-being was comparable to same-age peers. The clinical protocol including puberty suppression had provided these formerly gender-dysphoric youth the opportunity to develop into well-functioning young adults. abstract BACKGROUND: In recent years, puberty suppression by means of gonadotropin-releasing hormone analogs has become accepted in clinical management of adolescents who have gender dysphoria (GD). The current study is the first longer-term longitudinal evaluation of the effectiveness of this approach.", "author" : [ { "dropping-particle" : "", "family" : "Vries", "given" : "Annelou L C", "non-dropping-particle" : "de", "parse-names" : false, "suffix" : "" }, { "dropping-particle" : "", "family" : "McGuire", "given" : "Jenifer K", "non-dropping-particle" : "", "parse-names" : false, "suffix" : "" }, { "dropping-particle" : "", "family" : "Steensma", "given" : "Thomas D", "non-dropping-particle" : "", "parse-names" : false, "suffix" : "" }, { "dropping-particle" : "", "family" : "Wagenaar", "given" : "Eva C F", "non-dropping-particle" : "", "parse-names" : false, "suffix" : "" }, { "dropping-particle" : "", "family" : "Doreleijers", "given" : "Theo A H", "non-dropping-particle" : "", "parse-names" : false, "suffix" : "" }, { "dropping-particle" : "", "family" : "Cohen-Kettenis", "given" : "Peggy T", "non-dropping-particle" : "", "parse-names" : false, "suffix" : "" } ], "container-title" : "Pediatrics", "id" : "ITEM-1", "issue" : "4", "issued" : { "date-parts" : [ [ "2014" ] ] }, "page" : "696-704", "title" : "Young adult psychological outcome after puberty suppression and gender reassignment.", "type" : "article-journal", "volume" : "134" }, "uris" : [ "http://www.mendeley.com/documents/?uuid=de726558-7045-4eaf-bd58-5cb2eaf9cf16" ] } ], "mendeley" : { "formattedCitation" : "(14)", "plainTextFormattedCitation" : "(14)", "previouslyFormattedCitation" : "(14)" }, "properties" : { "noteIndex" : 0 }, "schema" : "https://github.com/citation-style-language/schema/raw/master/csl-citation.json" }</w:instrText>
      </w:r>
      <w:r w:rsidR="00DE6B53">
        <w:rPr>
          <w:lang w:val="en-GB"/>
        </w:rPr>
        <w:fldChar w:fldCharType="separate"/>
      </w:r>
      <w:r w:rsidR="00C7364E" w:rsidRPr="00C7364E">
        <w:rPr>
          <w:noProof/>
          <w:lang w:val="en-GB"/>
        </w:rPr>
        <w:t>(14)</w:t>
      </w:r>
      <w:r w:rsidR="00DE6B53">
        <w:rPr>
          <w:lang w:val="en-GB"/>
        </w:rPr>
        <w:fldChar w:fldCharType="end"/>
      </w:r>
      <w:r w:rsidR="00F85A3C">
        <w:rPr>
          <w:lang w:val="en-GB"/>
        </w:rPr>
        <w:t xml:space="preserve">. </w:t>
      </w:r>
      <w:r w:rsidR="007E1BBF">
        <w:rPr>
          <w:lang w:val="en-GB"/>
        </w:rPr>
        <w:t>However, a</w:t>
      </w:r>
      <w:r w:rsidR="00A6470A" w:rsidRPr="00D62C25">
        <w:rPr>
          <w:lang w:val="en-GB"/>
        </w:rPr>
        <w:t xml:space="preserve">rguments against puberty suppression include that gender identity is still developing </w:t>
      </w:r>
      <w:r w:rsidR="00DE6B53">
        <w:rPr>
          <w:lang w:val="en-GB"/>
        </w:rPr>
        <w:t>in adolescence</w:t>
      </w:r>
      <w:r w:rsidR="00A6470A" w:rsidRPr="00D62C25">
        <w:rPr>
          <w:lang w:val="en-GB"/>
        </w:rPr>
        <w:t xml:space="preserve"> and</w:t>
      </w:r>
      <w:r w:rsidR="00DE6B53">
        <w:rPr>
          <w:lang w:val="en-GB"/>
        </w:rPr>
        <w:t xml:space="preserve"> that</w:t>
      </w:r>
      <w:r w:rsidR="00A6470A" w:rsidRPr="00D62C25">
        <w:rPr>
          <w:lang w:val="en-GB"/>
        </w:rPr>
        <w:t xml:space="preserve"> suppression of </w:t>
      </w:r>
      <w:r w:rsidR="00A6470A">
        <w:rPr>
          <w:lang w:val="en-GB"/>
        </w:rPr>
        <w:t xml:space="preserve">endogenous </w:t>
      </w:r>
      <w:r w:rsidR="00A6470A" w:rsidRPr="00D62C25">
        <w:rPr>
          <w:lang w:val="en-GB"/>
        </w:rPr>
        <w:t>sex hormones m</w:t>
      </w:r>
      <w:r w:rsidR="00A6470A">
        <w:rPr>
          <w:lang w:val="en-GB"/>
        </w:rPr>
        <w:t>ay interfere with</w:t>
      </w:r>
      <w:r w:rsidR="00A6470A" w:rsidRPr="00D62C25">
        <w:rPr>
          <w:lang w:val="en-GB"/>
        </w:rPr>
        <w:t xml:space="preserve"> normal growth</w:t>
      </w:r>
      <w:r w:rsidR="00A6470A" w:rsidRPr="00095847">
        <w:rPr>
          <w:lang w:val="en-GB"/>
        </w:rPr>
        <w:t>, bone maturation</w:t>
      </w:r>
      <w:r w:rsidR="00A6470A" w:rsidRPr="00D62C25">
        <w:rPr>
          <w:lang w:val="en-GB"/>
        </w:rPr>
        <w:t xml:space="preserve"> and brain development. However with </w:t>
      </w:r>
      <w:r w:rsidR="00A6470A">
        <w:rPr>
          <w:lang w:val="en-GB"/>
        </w:rPr>
        <w:t xml:space="preserve">the </w:t>
      </w:r>
      <w:r w:rsidR="00A6470A" w:rsidRPr="00D62C25">
        <w:rPr>
          <w:lang w:val="en-GB"/>
        </w:rPr>
        <w:t>initiation of cross-sex hormones</w:t>
      </w:r>
      <w:r w:rsidR="00DE6B53">
        <w:rPr>
          <w:lang w:val="en-GB"/>
        </w:rPr>
        <w:t xml:space="preserve"> (CSH)</w:t>
      </w:r>
      <w:r w:rsidR="00A6470A" w:rsidRPr="00D62C25">
        <w:rPr>
          <w:lang w:val="en-GB"/>
        </w:rPr>
        <w:t>, these effects are believed to be (mostly) reversible</w:t>
      </w:r>
      <w:r w:rsidR="00A6470A">
        <w:rPr>
          <w:lang w:val="en-GB"/>
        </w:rPr>
        <w:t xml:space="preserve"> </w:t>
      </w:r>
      <w:r w:rsidR="007A3EDC">
        <w:rPr>
          <w:lang w:val="en-GB"/>
        </w:rPr>
        <w:fldChar w:fldCharType="begin" w:fldLock="1"/>
      </w:r>
      <w:r w:rsidR="002C52CA">
        <w:rPr>
          <w:lang w:val="en-GB"/>
        </w:rPr>
        <w:instrText>ADDIN CSL_CITATION { "citationItems" : [ { "id" : "ITEM-1", "itemData" : { "DOI" : "10.1111/j.1743-6109.2008.00870.x", "ISSN" : "17436095", "author" : [ { "dropping-particle" : "", "family" : "Cohen-Kettenis", "given" : "Peggy T.", "non-dropping-particle" : "", "parse-names" : false, "suffix" : "" }, { "dropping-particle" : "", "family" : "Delemarre-van de Waal", "given" : "Henriette A.", "non-dropping-particle" : "", "parse-names" : false, "suffix" : "" }, { "dropping-particle" : "", "family" : "Gooren", "given" : "Louis J. G.", "non-dropping-particle" : "", "parse-names" : false, "suffix" : "" } ], "container-title" : "Journal of Sexual Medicine", "id" : "ITEM-1", "issue" : "8", "issued" : { "date-parts" : [ [ "2008" ] ] }, "page" : "1892-1897", "title" : "The Treatment of Adolescent Transsexuals: Changing Insights", "type" : "article-journal", "volume" : "5" }, "uris" : [ "http://www.mendeley.com/documents/?uuid=bedea32b-bc92-4042-a3e1-640a3b8cd182" ] } ], "mendeley" : { "formattedCitation" : "(15)", "plainTextFormattedCitation" : "(15)", "previouslyFormattedCitation" : "(15)" }, "properties" : { "noteIndex" : 0 }, "schema" : "https://github.com/citation-style-language/schema/raw/master/csl-citation.json" }</w:instrText>
      </w:r>
      <w:r w:rsidR="007A3EDC">
        <w:rPr>
          <w:lang w:val="en-GB"/>
        </w:rPr>
        <w:fldChar w:fldCharType="separate"/>
      </w:r>
      <w:r w:rsidR="00C7364E" w:rsidRPr="00C7364E">
        <w:rPr>
          <w:noProof/>
          <w:lang w:val="en-GB"/>
        </w:rPr>
        <w:t>(15)</w:t>
      </w:r>
      <w:r w:rsidR="007A3EDC">
        <w:rPr>
          <w:lang w:val="en-GB"/>
        </w:rPr>
        <w:fldChar w:fldCharType="end"/>
      </w:r>
      <w:r w:rsidR="00A6470A" w:rsidRPr="00D62C25">
        <w:rPr>
          <w:lang w:val="en-GB"/>
        </w:rPr>
        <w:t xml:space="preserve">. </w:t>
      </w:r>
    </w:p>
    <w:p w14:paraId="398080E3" w14:textId="11954BE7" w:rsidR="00081FE3" w:rsidRDefault="005A368E" w:rsidP="009C579F">
      <w:pPr>
        <w:spacing w:after="0" w:line="360" w:lineRule="auto"/>
        <w:jc w:val="both"/>
        <w:rPr>
          <w:lang w:val="en-GB"/>
        </w:rPr>
      </w:pPr>
      <w:r>
        <w:rPr>
          <w:lang w:val="en-GB"/>
        </w:rPr>
        <w:lastRenderedPageBreak/>
        <w:t>In male to female (MtF)</w:t>
      </w:r>
      <w:r w:rsidR="00C67681">
        <w:rPr>
          <w:lang w:val="en-GB"/>
        </w:rPr>
        <w:t xml:space="preserve"> and</w:t>
      </w:r>
      <w:r w:rsidR="00AA0CD2">
        <w:rPr>
          <w:lang w:val="en-GB"/>
        </w:rPr>
        <w:t xml:space="preserve"> female to male (FtM)</w:t>
      </w:r>
      <w:r>
        <w:rPr>
          <w:lang w:val="en-GB"/>
        </w:rPr>
        <w:t xml:space="preserve"> </w:t>
      </w:r>
      <w:r w:rsidR="00493539">
        <w:rPr>
          <w:lang w:val="en-GB"/>
        </w:rPr>
        <w:t>transgender</w:t>
      </w:r>
      <w:r w:rsidR="00D62F61">
        <w:rPr>
          <w:lang w:val="en-GB"/>
        </w:rPr>
        <w:t xml:space="preserve"> individuals</w:t>
      </w:r>
      <w:r>
        <w:rPr>
          <w:lang w:val="en-GB"/>
        </w:rPr>
        <w:t xml:space="preserve"> who present </w:t>
      </w:r>
      <w:r w:rsidR="009C579F">
        <w:rPr>
          <w:lang w:val="en-GB"/>
        </w:rPr>
        <w:t>in</w:t>
      </w:r>
      <w:r w:rsidR="00D60127">
        <w:rPr>
          <w:lang w:val="en-GB"/>
        </w:rPr>
        <w:t xml:space="preserve"> childhood and with a confirmed diagnosis of </w:t>
      </w:r>
      <w:r w:rsidR="00D62F61">
        <w:rPr>
          <w:lang w:val="en-GB"/>
        </w:rPr>
        <w:t>GD</w:t>
      </w:r>
      <w:r w:rsidR="00D60127">
        <w:rPr>
          <w:lang w:val="en-GB"/>
        </w:rPr>
        <w:t xml:space="preserve"> in the first months of puberty,</w:t>
      </w:r>
      <w:r>
        <w:rPr>
          <w:lang w:val="en-GB"/>
        </w:rPr>
        <w:t xml:space="preserve"> gonadotropin releasing hormone analog</w:t>
      </w:r>
      <w:r w:rsidR="00C7364E">
        <w:rPr>
          <w:lang w:val="en-GB"/>
        </w:rPr>
        <w:t>ue</w:t>
      </w:r>
      <w:r>
        <w:rPr>
          <w:lang w:val="en-GB"/>
        </w:rPr>
        <w:t xml:space="preserve">s (GnRHa) are often </w:t>
      </w:r>
      <w:r w:rsidR="00D60127">
        <w:rPr>
          <w:lang w:val="en-GB"/>
        </w:rPr>
        <w:t xml:space="preserve">the </w:t>
      </w:r>
      <w:r>
        <w:rPr>
          <w:lang w:val="en-GB"/>
        </w:rPr>
        <w:t>first choice of therapy</w:t>
      </w:r>
      <w:r w:rsidR="009C579F">
        <w:rPr>
          <w:lang w:val="en-GB"/>
        </w:rPr>
        <w:t>,</w:t>
      </w:r>
      <w:r w:rsidR="00D60127">
        <w:rPr>
          <w:lang w:val="en-GB"/>
        </w:rPr>
        <w:t xml:space="preserve"> in order to avoid the development of advanced sec</w:t>
      </w:r>
      <w:r w:rsidR="00C7364E">
        <w:rPr>
          <w:lang w:val="en-GB"/>
        </w:rPr>
        <w:t>ondary sexual characteristics (i</w:t>
      </w:r>
      <w:r w:rsidR="00D60127">
        <w:rPr>
          <w:lang w:val="en-GB"/>
        </w:rPr>
        <w:t>.</w:t>
      </w:r>
      <w:r w:rsidR="00C7364E">
        <w:rPr>
          <w:lang w:val="en-GB"/>
        </w:rPr>
        <w:t>e</w:t>
      </w:r>
      <w:r w:rsidR="00D60127">
        <w:rPr>
          <w:lang w:val="en-GB"/>
        </w:rPr>
        <w:t>. beyond Tanner stage G</w:t>
      </w:r>
      <w:r w:rsidR="00C7364E">
        <w:rPr>
          <w:lang w:val="en-GB"/>
        </w:rPr>
        <w:t>3</w:t>
      </w:r>
      <w:r w:rsidR="00D60127">
        <w:rPr>
          <w:lang w:val="en-GB"/>
        </w:rPr>
        <w:t>/B3</w:t>
      </w:r>
      <w:r w:rsidR="00392121">
        <w:rPr>
          <w:lang w:val="en-GB"/>
        </w:rPr>
        <w:t xml:space="preserve">) and thus prevent the need </w:t>
      </w:r>
      <w:r w:rsidR="009C579F">
        <w:rPr>
          <w:lang w:val="en-GB"/>
        </w:rPr>
        <w:t>for</w:t>
      </w:r>
      <w:r w:rsidR="00392121">
        <w:rPr>
          <w:lang w:val="en-GB"/>
        </w:rPr>
        <w:t xml:space="preserve"> mastectomy or </w:t>
      </w:r>
      <w:r w:rsidR="00370799">
        <w:rPr>
          <w:lang w:val="en-GB"/>
        </w:rPr>
        <w:t>laser-assisted hair</w:t>
      </w:r>
      <w:r w:rsidR="00584DB6">
        <w:rPr>
          <w:lang w:val="en-GB"/>
        </w:rPr>
        <w:t xml:space="preserve"> removal</w:t>
      </w:r>
      <w:r w:rsidR="009C579F">
        <w:rPr>
          <w:lang w:val="en-GB"/>
        </w:rPr>
        <w:t xml:space="preserve"> </w:t>
      </w:r>
      <w:r w:rsidR="00C7364E">
        <w:rPr>
          <w:lang w:val="en-GB"/>
        </w:rPr>
        <w:t xml:space="preserve">and voice training </w:t>
      </w:r>
      <w:r w:rsidR="009C579F">
        <w:rPr>
          <w:lang w:val="en-GB"/>
        </w:rPr>
        <w:t>in respectively FtM and MtF trans</w:t>
      </w:r>
      <w:r w:rsidR="00493539">
        <w:rPr>
          <w:lang w:val="en-GB"/>
        </w:rPr>
        <w:t>gender</w:t>
      </w:r>
      <w:r w:rsidR="009C579F">
        <w:rPr>
          <w:lang w:val="en-GB"/>
        </w:rPr>
        <w:t xml:space="preserve"> individuals</w:t>
      </w:r>
      <w:r w:rsidR="00584DB6">
        <w:rPr>
          <w:lang w:val="en-GB"/>
        </w:rPr>
        <w:t xml:space="preserve">. </w:t>
      </w:r>
      <w:r w:rsidR="009C579F">
        <w:rPr>
          <w:lang w:val="en-GB"/>
        </w:rPr>
        <w:t>A</w:t>
      </w:r>
      <w:r w:rsidR="00584DB6">
        <w:rPr>
          <w:lang w:val="en-GB"/>
        </w:rPr>
        <w:t xml:space="preserve"> d</w:t>
      </w:r>
      <w:r w:rsidR="00C7364E">
        <w:rPr>
          <w:lang w:val="en-GB"/>
        </w:rPr>
        <w:t>isadvantage</w:t>
      </w:r>
      <w:r w:rsidR="00584DB6">
        <w:rPr>
          <w:lang w:val="en-GB"/>
        </w:rPr>
        <w:t xml:space="preserve"> of GnRHa</w:t>
      </w:r>
      <w:r w:rsidR="00370799">
        <w:rPr>
          <w:lang w:val="en-GB"/>
        </w:rPr>
        <w:t xml:space="preserve"> is the lack of sufficient genital tissue for penile inversion vaginoplasty</w:t>
      </w:r>
      <w:r w:rsidR="009C579F">
        <w:rPr>
          <w:lang w:val="en-GB"/>
        </w:rPr>
        <w:t xml:space="preserve"> in MtF trans</w:t>
      </w:r>
      <w:r w:rsidR="00493539">
        <w:rPr>
          <w:lang w:val="en-GB"/>
        </w:rPr>
        <w:t>gender</w:t>
      </w:r>
      <w:r w:rsidR="009C579F">
        <w:rPr>
          <w:lang w:val="en-GB"/>
        </w:rPr>
        <w:t xml:space="preserve"> individuals</w:t>
      </w:r>
      <w:r w:rsidR="00370799">
        <w:rPr>
          <w:lang w:val="en-GB"/>
        </w:rPr>
        <w:t xml:space="preserve"> </w:t>
      </w:r>
      <w:r w:rsidR="00370799">
        <w:rPr>
          <w:lang w:val="en-GB"/>
        </w:rPr>
        <w:fldChar w:fldCharType="begin" w:fldLock="1"/>
      </w:r>
      <w:r w:rsidR="002C52CA">
        <w:rPr>
          <w:lang w:val="en-GB"/>
        </w:rPr>
        <w:instrText>ADDIN CSL_CITATION { "citationItems" : [ { "id" : "ITEM-1", "itemData" : { "DOI" : "10.1016/j.jpeds.2013.10.068", "ISSN" : "00223476", "author" : [ { "dropping-particle" : "", "family" : "Khatchadourian", "given" : "Karine", "non-dropping-particle" : "", "parse-names" : false, "suffix" : "" }, { "dropping-particle" : "", "family" : "Amed", "given" : "Shazhan", "non-dropping-particle" : "", "parse-names" : false, "suffix" : "" }, { "dropping-particle" : "", "family" : "Metzger", "given" : "Daniel L.", "non-dropping-particle" : "", "parse-names" : false, "suffix" : "" } ], "container-title" : "The Journal of Pediatrics", "id" : "ITEM-1", "issue" : "4", "issued" : { "date-parts" : [ [ "2014" ] ] }, "page" : "906-911", "publisher" : "Elsevier Ltd", "title" : "Clinical Management of Youth with Gender Dysphoria in Vancouver", "type" : "article-journal", "volume" : "164" }, "uris" : [ "http://www.mendeley.com/documents/?uuid=52de126e-cd87-431b-b1a9-8efd767397af" ] } ], "mendeley" : { "formattedCitation" : "(16)", "plainTextFormattedCitation" : "(16)", "previouslyFormattedCitation" : "(16)" }, "properties" : { "noteIndex" : 0 }, "schema" : "https://github.com/citation-style-language/schema/raw/master/csl-citation.json" }</w:instrText>
      </w:r>
      <w:r w:rsidR="00370799">
        <w:rPr>
          <w:lang w:val="en-GB"/>
        </w:rPr>
        <w:fldChar w:fldCharType="separate"/>
      </w:r>
      <w:r w:rsidR="00C7364E" w:rsidRPr="00C7364E">
        <w:rPr>
          <w:noProof/>
          <w:lang w:val="en-GB"/>
        </w:rPr>
        <w:t>(16)</w:t>
      </w:r>
      <w:r w:rsidR="00370799">
        <w:rPr>
          <w:lang w:val="en-GB"/>
        </w:rPr>
        <w:fldChar w:fldCharType="end"/>
      </w:r>
      <w:r w:rsidR="00370799">
        <w:rPr>
          <w:lang w:val="en-GB"/>
        </w:rPr>
        <w:t>.</w:t>
      </w:r>
      <w:r>
        <w:rPr>
          <w:lang w:val="en-GB"/>
        </w:rPr>
        <w:t xml:space="preserve"> However</w:t>
      </w:r>
      <w:r w:rsidR="00296D4A">
        <w:rPr>
          <w:lang w:val="en-GB"/>
        </w:rPr>
        <w:t>,</w:t>
      </w:r>
      <w:r>
        <w:rPr>
          <w:lang w:val="en-GB"/>
        </w:rPr>
        <w:t xml:space="preserve"> when </w:t>
      </w:r>
      <w:r w:rsidR="00477FD7">
        <w:rPr>
          <w:lang w:val="en-GB"/>
        </w:rPr>
        <w:t>secondary sexual characteristics have fully developed,</w:t>
      </w:r>
      <w:r>
        <w:rPr>
          <w:lang w:val="en-GB"/>
        </w:rPr>
        <w:t xml:space="preserve"> </w:t>
      </w:r>
      <w:r w:rsidR="00477FD7">
        <w:rPr>
          <w:lang w:val="en-GB"/>
        </w:rPr>
        <w:t xml:space="preserve">the benefits of using GnRHa instead </w:t>
      </w:r>
      <w:r w:rsidR="00296D4A">
        <w:rPr>
          <w:lang w:val="en-GB"/>
        </w:rPr>
        <w:t>of cheaper alternatives such as</w:t>
      </w:r>
      <w:r>
        <w:rPr>
          <w:lang w:val="en-GB"/>
        </w:rPr>
        <w:t xml:space="preserve"> progestins </w:t>
      </w:r>
      <w:r w:rsidR="00477FD7">
        <w:rPr>
          <w:lang w:val="en-GB"/>
        </w:rPr>
        <w:t>are less clear. GnRHa are probably more effective in suppressing endogenous hormone productio</w:t>
      </w:r>
      <w:r w:rsidR="00081FE3">
        <w:rPr>
          <w:lang w:val="en-GB"/>
        </w:rPr>
        <w:t>n</w:t>
      </w:r>
      <w:r w:rsidR="00477FD7">
        <w:rPr>
          <w:lang w:val="en-GB"/>
        </w:rPr>
        <w:t xml:space="preserve"> but whether this results in significant clinical differences regarding</w:t>
      </w:r>
      <w:r w:rsidR="00081FE3">
        <w:rPr>
          <w:lang w:val="en-GB"/>
        </w:rPr>
        <w:t xml:space="preserve"> </w:t>
      </w:r>
      <w:r w:rsidR="00081FE3" w:rsidRPr="00D62C25">
        <w:rPr>
          <w:lang w:val="en-GB"/>
        </w:rPr>
        <w:t>physical changes, side effects and psychological outcome</w:t>
      </w:r>
      <w:r w:rsidR="00081FE3">
        <w:rPr>
          <w:lang w:val="en-GB"/>
        </w:rPr>
        <w:t xml:space="preserve"> in late adolescence or adulthood has never</w:t>
      </w:r>
      <w:r w:rsidR="00081FE3" w:rsidRPr="00081FE3">
        <w:rPr>
          <w:lang w:val="en-GB"/>
        </w:rPr>
        <w:t xml:space="preserve"> </w:t>
      </w:r>
      <w:r w:rsidR="00081FE3">
        <w:rPr>
          <w:lang w:val="en-GB"/>
        </w:rPr>
        <w:t>been investigated</w:t>
      </w:r>
      <w:r w:rsidR="00296D4A">
        <w:rPr>
          <w:lang w:val="en-GB"/>
        </w:rPr>
        <w:t>.</w:t>
      </w:r>
    </w:p>
    <w:p w14:paraId="14AE81DB" w14:textId="639F0843" w:rsidR="00556629" w:rsidRPr="005B57A7" w:rsidRDefault="00081FE3" w:rsidP="005B57A7">
      <w:pPr>
        <w:spacing w:after="0" w:line="360" w:lineRule="auto"/>
        <w:jc w:val="both"/>
        <w:rPr>
          <w:lang w:val="en-GB"/>
        </w:rPr>
      </w:pPr>
      <w:r>
        <w:rPr>
          <w:lang w:val="en-GB"/>
        </w:rPr>
        <w:t xml:space="preserve">Progestins that are frequently used in this context are </w:t>
      </w:r>
      <w:r w:rsidR="005A368E">
        <w:rPr>
          <w:lang w:val="en-GB"/>
        </w:rPr>
        <w:t>cyproterone acetate (CA)</w:t>
      </w:r>
      <w:r>
        <w:rPr>
          <w:lang w:val="en-GB"/>
        </w:rPr>
        <w:t xml:space="preserve"> in MtF</w:t>
      </w:r>
      <w:r w:rsidR="00584DB6">
        <w:rPr>
          <w:lang w:val="en-GB"/>
        </w:rPr>
        <w:t xml:space="preserve"> trans</w:t>
      </w:r>
      <w:r w:rsidR="00493539">
        <w:rPr>
          <w:lang w:val="en-GB"/>
        </w:rPr>
        <w:t>gender</w:t>
      </w:r>
      <w:r w:rsidR="00584DB6">
        <w:rPr>
          <w:lang w:val="en-GB"/>
        </w:rPr>
        <w:t xml:space="preserve"> individuals</w:t>
      </w:r>
      <w:r w:rsidR="00AA0CD2">
        <w:rPr>
          <w:lang w:val="en-GB"/>
        </w:rPr>
        <w:t xml:space="preserve"> or lynestrenol (L)</w:t>
      </w:r>
      <w:r w:rsidR="005A368E">
        <w:rPr>
          <w:lang w:val="en-GB"/>
        </w:rPr>
        <w:t xml:space="preserve"> </w:t>
      </w:r>
      <w:r>
        <w:rPr>
          <w:lang w:val="en-GB"/>
        </w:rPr>
        <w:t>in FtM</w:t>
      </w:r>
      <w:r w:rsidR="00584DB6">
        <w:rPr>
          <w:lang w:val="en-GB"/>
        </w:rPr>
        <w:t xml:space="preserve"> trans</w:t>
      </w:r>
      <w:r w:rsidR="00493539">
        <w:rPr>
          <w:lang w:val="en-GB"/>
        </w:rPr>
        <w:t>gender</w:t>
      </w:r>
      <w:r w:rsidR="00584DB6">
        <w:rPr>
          <w:lang w:val="en-GB"/>
        </w:rPr>
        <w:t xml:space="preserve"> individuals</w:t>
      </w:r>
      <w:r>
        <w:rPr>
          <w:lang w:val="en-GB"/>
        </w:rPr>
        <w:t xml:space="preserve">. </w:t>
      </w:r>
      <w:r w:rsidR="005A368E">
        <w:rPr>
          <w:lang w:val="en-GB"/>
        </w:rPr>
        <w:t>In Belgium, treatment with CA (Androcur®)</w:t>
      </w:r>
      <w:r w:rsidR="00CC7CFF">
        <w:rPr>
          <w:lang w:val="en-GB"/>
        </w:rPr>
        <w:t xml:space="preserve"> and L (Orgametril ®) </w:t>
      </w:r>
      <w:r>
        <w:rPr>
          <w:lang w:val="en-GB"/>
        </w:rPr>
        <w:t xml:space="preserve">is </w:t>
      </w:r>
      <w:r w:rsidR="00CC7CFF">
        <w:rPr>
          <w:lang w:val="en-GB"/>
        </w:rPr>
        <w:t>respectively</w:t>
      </w:r>
      <w:r w:rsidR="005A368E">
        <w:rPr>
          <w:lang w:val="en-GB"/>
        </w:rPr>
        <w:t xml:space="preserve"> 5 </w:t>
      </w:r>
      <w:r w:rsidR="00CC7CFF">
        <w:rPr>
          <w:lang w:val="en-GB"/>
        </w:rPr>
        <w:t xml:space="preserve">and 13 </w:t>
      </w:r>
      <w:r w:rsidR="005A368E">
        <w:rPr>
          <w:lang w:val="en-GB"/>
        </w:rPr>
        <w:t xml:space="preserve">times cheaper than GnRHa - which </w:t>
      </w:r>
      <w:r>
        <w:rPr>
          <w:lang w:val="en-GB"/>
        </w:rPr>
        <w:t xml:space="preserve">in addition are </w:t>
      </w:r>
      <w:r w:rsidR="005A368E">
        <w:rPr>
          <w:lang w:val="en-GB"/>
        </w:rPr>
        <w:t xml:space="preserve">not reimbursed </w:t>
      </w:r>
      <w:r>
        <w:rPr>
          <w:lang w:val="en-GB"/>
        </w:rPr>
        <w:t xml:space="preserve">for this indication </w:t>
      </w:r>
      <w:r w:rsidR="005A368E">
        <w:rPr>
          <w:lang w:val="en-GB"/>
        </w:rPr>
        <w:t xml:space="preserve">- and have the additional benefit that </w:t>
      </w:r>
      <w:r>
        <w:rPr>
          <w:lang w:val="en-GB"/>
        </w:rPr>
        <w:t xml:space="preserve">they </w:t>
      </w:r>
      <w:r w:rsidR="005A368E">
        <w:rPr>
          <w:lang w:val="en-GB"/>
        </w:rPr>
        <w:t>can be administered orally</w:t>
      </w:r>
      <w:r w:rsidR="006C2DBF">
        <w:rPr>
          <w:lang w:val="en-GB"/>
        </w:rPr>
        <w:t xml:space="preserve"> instead</w:t>
      </w:r>
      <w:r w:rsidR="00C24208">
        <w:rPr>
          <w:lang w:val="en-GB"/>
        </w:rPr>
        <w:t xml:space="preserve"> of</w:t>
      </w:r>
      <w:r w:rsidR="006C2DBF">
        <w:rPr>
          <w:lang w:val="en-GB"/>
        </w:rPr>
        <w:t xml:space="preserve"> </w:t>
      </w:r>
      <w:r>
        <w:rPr>
          <w:lang w:val="en-GB"/>
        </w:rPr>
        <w:t>intramuscularly</w:t>
      </w:r>
      <w:r w:rsidR="005A368E">
        <w:rPr>
          <w:lang w:val="en-GB"/>
        </w:rPr>
        <w:t xml:space="preserve">. </w:t>
      </w:r>
      <w:r w:rsidR="007A2532">
        <w:rPr>
          <w:lang w:val="en-GB"/>
        </w:rPr>
        <w:t xml:space="preserve">The treatment protocol </w:t>
      </w:r>
      <w:r w:rsidR="00C7364E">
        <w:rPr>
          <w:lang w:val="en-GB"/>
        </w:rPr>
        <w:t xml:space="preserve">as applied in our center </w:t>
      </w:r>
      <w:r w:rsidR="007A2532">
        <w:rPr>
          <w:lang w:val="en-GB"/>
        </w:rPr>
        <w:t>is represented in Table 1.</w:t>
      </w:r>
    </w:p>
    <w:p w14:paraId="60B0110A" w14:textId="5602F8BD" w:rsidR="00110CDA" w:rsidRPr="00556629" w:rsidRDefault="00556629" w:rsidP="005B57A7">
      <w:pPr>
        <w:spacing w:before="120" w:after="0" w:line="240" w:lineRule="auto"/>
        <w:rPr>
          <w:lang w:val="en-US"/>
        </w:rPr>
      </w:pPr>
      <w:r>
        <w:rPr>
          <w:b/>
          <w:noProof/>
          <w:lang w:val="en-US"/>
        </w:rPr>
        <w:t>Table</w:t>
      </w:r>
      <w:r w:rsidRPr="00556629">
        <w:rPr>
          <w:b/>
          <w:noProof/>
          <w:lang w:val="en-US"/>
        </w:rPr>
        <w:t xml:space="preserve"> 1. </w:t>
      </w:r>
      <w:r w:rsidRPr="00392121">
        <w:rPr>
          <w:noProof/>
          <w:lang w:val="en-US"/>
        </w:rPr>
        <w:t>T</w:t>
      </w:r>
      <w:r w:rsidRPr="00556629">
        <w:rPr>
          <w:noProof/>
          <w:lang w:val="en-US"/>
        </w:rPr>
        <w:t>reatment protocol</w:t>
      </w:r>
      <w:r>
        <w:rPr>
          <w:noProof/>
          <w:lang w:val="en-US"/>
        </w:rPr>
        <w:t xml:space="preserve"> of </w:t>
      </w:r>
      <w:r w:rsidR="00392121">
        <w:rPr>
          <w:noProof/>
          <w:lang w:val="en-US"/>
        </w:rPr>
        <w:t xml:space="preserve">the gender clinic of </w:t>
      </w:r>
      <w:r>
        <w:rPr>
          <w:noProof/>
          <w:lang w:val="en-US"/>
        </w:rPr>
        <w:t>Ghent University Hospital</w:t>
      </w:r>
    </w:p>
    <w:tbl>
      <w:tblPr>
        <w:tblStyle w:val="Onopgemaaktetabel21"/>
        <w:tblW w:w="0" w:type="auto"/>
        <w:tblLook w:val="04A0" w:firstRow="1" w:lastRow="0" w:firstColumn="1" w:lastColumn="0" w:noHBand="0" w:noVBand="1"/>
      </w:tblPr>
      <w:tblGrid>
        <w:gridCol w:w="2802"/>
        <w:gridCol w:w="3205"/>
        <w:gridCol w:w="3205"/>
      </w:tblGrid>
      <w:tr w:rsidR="00556629" w:rsidRPr="00C7364E" w14:paraId="6D3D847F" w14:textId="77777777" w:rsidTr="00584D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0AC742DE" w14:textId="71833F67" w:rsidR="00556629" w:rsidRPr="00C7364E" w:rsidRDefault="00556629" w:rsidP="00C7364E">
            <w:pPr>
              <w:spacing w:line="276" w:lineRule="auto"/>
              <w:jc w:val="center"/>
              <w:rPr>
                <w:b w:val="0"/>
                <w:noProof/>
                <w:sz w:val="20"/>
                <w:szCs w:val="20"/>
                <w:lang w:val="en-US"/>
              </w:rPr>
            </w:pPr>
            <w:r w:rsidRPr="00C7364E">
              <w:rPr>
                <w:b w:val="0"/>
                <w:noProof/>
                <w:sz w:val="20"/>
                <w:szCs w:val="20"/>
                <w:lang w:val="en-US"/>
              </w:rPr>
              <w:t>Adolescents</w:t>
            </w:r>
          </w:p>
        </w:tc>
        <w:tc>
          <w:tcPr>
            <w:tcW w:w="3205" w:type="dxa"/>
          </w:tcPr>
          <w:p w14:paraId="195CF486" w14:textId="6F748420" w:rsidR="00556629" w:rsidRPr="00C7364E" w:rsidRDefault="00556629" w:rsidP="00C7364E">
            <w:pPr>
              <w:spacing w:line="276" w:lineRule="auto"/>
              <w:jc w:val="center"/>
              <w:cnfStyle w:val="100000000000" w:firstRow="1" w:lastRow="0" w:firstColumn="0" w:lastColumn="0" w:oddVBand="0" w:evenVBand="0" w:oddHBand="0" w:evenHBand="0" w:firstRowFirstColumn="0" w:firstRowLastColumn="0" w:lastRowFirstColumn="0" w:lastRowLastColumn="0"/>
              <w:rPr>
                <w:b w:val="0"/>
                <w:noProof/>
                <w:sz w:val="20"/>
                <w:szCs w:val="20"/>
                <w:lang w:val="en-US"/>
              </w:rPr>
            </w:pPr>
            <w:r w:rsidRPr="00C7364E">
              <w:rPr>
                <w:b w:val="0"/>
                <w:noProof/>
                <w:sz w:val="20"/>
                <w:szCs w:val="20"/>
                <w:lang w:val="en-US"/>
              </w:rPr>
              <w:t>Start of puberty</w:t>
            </w:r>
            <w:r w:rsidR="00C7364E" w:rsidRPr="00C7364E">
              <w:rPr>
                <w:b w:val="0"/>
                <w:noProof/>
                <w:sz w:val="20"/>
                <w:szCs w:val="20"/>
                <w:lang w:val="en-US"/>
              </w:rPr>
              <w:t xml:space="preserve"> (G3/B3)</w:t>
            </w:r>
          </w:p>
        </w:tc>
        <w:tc>
          <w:tcPr>
            <w:tcW w:w="3205" w:type="dxa"/>
          </w:tcPr>
          <w:p w14:paraId="1E1D8329" w14:textId="5DFDCB65" w:rsidR="00556629" w:rsidRPr="00C7364E" w:rsidRDefault="00C7364E" w:rsidP="00C7364E">
            <w:pPr>
              <w:spacing w:line="276" w:lineRule="auto"/>
              <w:jc w:val="center"/>
              <w:cnfStyle w:val="100000000000" w:firstRow="1" w:lastRow="0" w:firstColumn="0" w:lastColumn="0" w:oddVBand="0" w:evenVBand="0" w:oddHBand="0" w:evenHBand="0" w:firstRowFirstColumn="0" w:firstRowLastColumn="0" w:lastRowFirstColumn="0" w:lastRowLastColumn="0"/>
              <w:rPr>
                <w:b w:val="0"/>
                <w:noProof/>
                <w:sz w:val="20"/>
                <w:szCs w:val="20"/>
                <w:lang w:val="en-US"/>
              </w:rPr>
            </w:pPr>
            <w:r w:rsidRPr="00C7364E">
              <w:rPr>
                <w:b w:val="0"/>
                <w:noProof/>
                <w:sz w:val="20"/>
                <w:szCs w:val="20"/>
                <w:lang w:val="en-US"/>
              </w:rPr>
              <w:t>More a</w:t>
            </w:r>
            <w:r w:rsidR="00556629" w:rsidRPr="00C7364E">
              <w:rPr>
                <w:b w:val="0"/>
                <w:noProof/>
                <w:sz w:val="20"/>
                <w:szCs w:val="20"/>
                <w:lang w:val="en-US"/>
              </w:rPr>
              <w:t>dvanced pubertal development</w:t>
            </w:r>
          </w:p>
        </w:tc>
      </w:tr>
      <w:tr w:rsidR="00556629" w:rsidRPr="00C7364E" w14:paraId="57DB922F" w14:textId="77777777" w:rsidTr="00584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6C10FCB6" w14:textId="208BB91D" w:rsidR="00556629" w:rsidRPr="00C7364E" w:rsidRDefault="007355B4" w:rsidP="00493539">
            <w:pPr>
              <w:spacing w:line="276" w:lineRule="auto"/>
              <w:jc w:val="center"/>
              <w:rPr>
                <w:b w:val="0"/>
                <w:noProof/>
                <w:sz w:val="20"/>
                <w:szCs w:val="20"/>
                <w:lang w:val="en-US"/>
              </w:rPr>
            </w:pPr>
            <w:r w:rsidRPr="00C7364E">
              <w:rPr>
                <w:b w:val="0"/>
                <w:noProof/>
                <w:sz w:val="20"/>
                <w:szCs w:val="20"/>
                <w:lang w:val="en-US"/>
              </w:rPr>
              <w:t>FtM trans</w:t>
            </w:r>
            <w:r w:rsidR="00493539">
              <w:rPr>
                <w:b w:val="0"/>
                <w:noProof/>
                <w:sz w:val="20"/>
                <w:szCs w:val="20"/>
                <w:lang w:val="en-US"/>
              </w:rPr>
              <w:t>gender</w:t>
            </w:r>
            <w:r w:rsidR="00556629" w:rsidRPr="00C7364E">
              <w:rPr>
                <w:b w:val="0"/>
                <w:noProof/>
                <w:sz w:val="20"/>
                <w:szCs w:val="20"/>
                <w:lang w:val="en-US"/>
              </w:rPr>
              <w:t xml:space="preserve"> individuals</w:t>
            </w:r>
          </w:p>
        </w:tc>
        <w:tc>
          <w:tcPr>
            <w:tcW w:w="3205" w:type="dxa"/>
          </w:tcPr>
          <w:p w14:paraId="62BBC6A1" w14:textId="5FE9677D" w:rsidR="00556629" w:rsidRPr="00C7364E" w:rsidRDefault="00556629" w:rsidP="00C7364E">
            <w:pPr>
              <w:spacing w:line="276" w:lineRule="auto"/>
              <w:jc w:val="center"/>
              <w:cnfStyle w:val="000000100000" w:firstRow="0" w:lastRow="0" w:firstColumn="0" w:lastColumn="0" w:oddVBand="0" w:evenVBand="0" w:oddHBand="1" w:evenHBand="0" w:firstRowFirstColumn="0" w:firstRowLastColumn="0" w:lastRowFirstColumn="0" w:lastRowLastColumn="0"/>
              <w:rPr>
                <w:b/>
                <w:noProof/>
                <w:sz w:val="20"/>
                <w:szCs w:val="20"/>
                <w:lang w:val="en-US"/>
              </w:rPr>
            </w:pPr>
            <w:r w:rsidRPr="00C7364E">
              <w:rPr>
                <w:b/>
                <w:noProof/>
                <w:sz w:val="20"/>
                <w:szCs w:val="20"/>
                <w:lang w:val="en-US"/>
              </w:rPr>
              <w:t>GnRHa: 11,25mg/12 weeks</w:t>
            </w:r>
          </w:p>
        </w:tc>
        <w:tc>
          <w:tcPr>
            <w:tcW w:w="3205" w:type="dxa"/>
          </w:tcPr>
          <w:p w14:paraId="58BFF9B6" w14:textId="3821531E" w:rsidR="00556629" w:rsidRPr="00C7364E" w:rsidRDefault="00556629" w:rsidP="00C7364E">
            <w:pPr>
              <w:spacing w:line="276" w:lineRule="auto"/>
              <w:cnfStyle w:val="000000100000" w:firstRow="0" w:lastRow="0" w:firstColumn="0" w:lastColumn="0" w:oddVBand="0" w:evenVBand="0" w:oddHBand="1" w:evenHBand="0" w:firstRowFirstColumn="0" w:firstRowLastColumn="0" w:lastRowFirstColumn="0" w:lastRowLastColumn="0"/>
              <w:rPr>
                <w:b/>
                <w:noProof/>
                <w:sz w:val="20"/>
                <w:szCs w:val="20"/>
                <w:vertAlign w:val="superscript"/>
                <w:lang w:val="en-US"/>
              </w:rPr>
            </w:pPr>
            <w:r w:rsidRPr="00C7364E">
              <w:rPr>
                <w:b/>
                <w:noProof/>
                <w:sz w:val="20"/>
                <w:szCs w:val="20"/>
                <w:lang w:val="en-US"/>
              </w:rPr>
              <w:t>Lynestrenol: 5mg/day</w:t>
            </w:r>
          </w:p>
        </w:tc>
      </w:tr>
      <w:tr w:rsidR="00556629" w:rsidRPr="00C7364E" w14:paraId="4F685D10" w14:textId="77777777" w:rsidTr="00584DB6">
        <w:tc>
          <w:tcPr>
            <w:cnfStyle w:val="001000000000" w:firstRow="0" w:lastRow="0" w:firstColumn="1" w:lastColumn="0" w:oddVBand="0" w:evenVBand="0" w:oddHBand="0" w:evenHBand="0" w:firstRowFirstColumn="0" w:firstRowLastColumn="0" w:lastRowFirstColumn="0" w:lastRowLastColumn="0"/>
            <w:tcW w:w="2802" w:type="dxa"/>
          </w:tcPr>
          <w:p w14:paraId="1D83F177" w14:textId="1C4524D2" w:rsidR="00556629" w:rsidRPr="00C7364E" w:rsidRDefault="00493539" w:rsidP="00C7364E">
            <w:pPr>
              <w:spacing w:line="276" w:lineRule="auto"/>
              <w:jc w:val="center"/>
              <w:rPr>
                <w:b w:val="0"/>
                <w:noProof/>
                <w:sz w:val="20"/>
                <w:szCs w:val="20"/>
                <w:lang w:val="en-US"/>
              </w:rPr>
            </w:pPr>
            <w:r>
              <w:rPr>
                <w:b w:val="0"/>
                <w:noProof/>
                <w:sz w:val="20"/>
                <w:szCs w:val="20"/>
                <w:lang w:val="en-US"/>
              </w:rPr>
              <w:t>MtF transgender</w:t>
            </w:r>
            <w:r w:rsidR="00556629" w:rsidRPr="00C7364E">
              <w:rPr>
                <w:b w:val="0"/>
                <w:noProof/>
                <w:sz w:val="20"/>
                <w:szCs w:val="20"/>
                <w:lang w:val="en-US"/>
              </w:rPr>
              <w:t xml:space="preserve"> individuals</w:t>
            </w:r>
          </w:p>
        </w:tc>
        <w:tc>
          <w:tcPr>
            <w:tcW w:w="3205" w:type="dxa"/>
          </w:tcPr>
          <w:p w14:paraId="69D31448" w14:textId="2ECC1770" w:rsidR="00556629" w:rsidRPr="00C7364E" w:rsidRDefault="00556629" w:rsidP="00C7364E">
            <w:pPr>
              <w:spacing w:line="276" w:lineRule="auto"/>
              <w:jc w:val="center"/>
              <w:cnfStyle w:val="000000000000" w:firstRow="0" w:lastRow="0" w:firstColumn="0" w:lastColumn="0" w:oddVBand="0" w:evenVBand="0" w:oddHBand="0" w:evenHBand="0" w:firstRowFirstColumn="0" w:firstRowLastColumn="0" w:lastRowFirstColumn="0" w:lastRowLastColumn="0"/>
              <w:rPr>
                <w:b/>
                <w:noProof/>
                <w:sz w:val="20"/>
                <w:szCs w:val="20"/>
                <w:lang w:val="en-US"/>
              </w:rPr>
            </w:pPr>
            <w:r w:rsidRPr="00C7364E">
              <w:rPr>
                <w:b/>
                <w:noProof/>
                <w:sz w:val="20"/>
                <w:szCs w:val="20"/>
                <w:lang w:val="en-US"/>
              </w:rPr>
              <w:t>GnRHa: 11,25mg/12 weeks</w:t>
            </w:r>
          </w:p>
        </w:tc>
        <w:tc>
          <w:tcPr>
            <w:tcW w:w="3205" w:type="dxa"/>
          </w:tcPr>
          <w:p w14:paraId="61BDF4E2" w14:textId="71DDE885" w:rsidR="00556629" w:rsidRPr="00C7364E" w:rsidRDefault="00556629" w:rsidP="00C7364E">
            <w:pPr>
              <w:spacing w:line="276" w:lineRule="auto"/>
              <w:cnfStyle w:val="000000000000" w:firstRow="0" w:lastRow="0" w:firstColumn="0" w:lastColumn="0" w:oddVBand="0" w:evenVBand="0" w:oddHBand="0" w:evenHBand="0" w:firstRowFirstColumn="0" w:firstRowLastColumn="0" w:lastRowFirstColumn="0" w:lastRowLastColumn="0"/>
              <w:rPr>
                <w:b/>
                <w:noProof/>
                <w:sz w:val="20"/>
                <w:szCs w:val="20"/>
                <w:lang w:val="en-US"/>
              </w:rPr>
            </w:pPr>
            <w:r w:rsidRPr="00C7364E">
              <w:rPr>
                <w:b/>
                <w:noProof/>
                <w:sz w:val="20"/>
                <w:szCs w:val="20"/>
                <w:lang w:val="en-US"/>
              </w:rPr>
              <w:t>Cyproterone acetate: 50mg/day</w:t>
            </w:r>
          </w:p>
        </w:tc>
      </w:tr>
    </w:tbl>
    <w:p w14:paraId="3930285F" w14:textId="69FE51A8" w:rsidR="00CC7CFF" w:rsidRDefault="00621ECE" w:rsidP="008126E8">
      <w:pPr>
        <w:pStyle w:val="Kop3"/>
        <w:rPr>
          <w:lang w:val="en-GB"/>
        </w:rPr>
      </w:pPr>
      <w:bookmarkStart w:id="20" w:name="_Toc451961476"/>
      <w:r>
        <w:rPr>
          <w:lang w:val="en-GB"/>
        </w:rPr>
        <w:t>Cyproterone acetate</w:t>
      </w:r>
      <w:bookmarkEnd w:id="20"/>
    </w:p>
    <w:p w14:paraId="07899E81" w14:textId="57130D49" w:rsidR="005A368E" w:rsidRDefault="00D2694A" w:rsidP="00844AB1">
      <w:pPr>
        <w:spacing w:after="0" w:line="360" w:lineRule="auto"/>
        <w:jc w:val="both"/>
        <w:rPr>
          <w:lang w:val="en-GB"/>
        </w:rPr>
      </w:pPr>
      <w:r>
        <w:rPr>
          <w:lang w:val="en-GB"/>
        </w:rPr>
        <w:t>CA</w:t>
      </w:r>
      <w:r w:rsidR="001F4F98">
        <w:rPr>
          <w:lang w:val="en-GB"/>
        </w:rPr>
        <w:t xml:space="preserve"> </w:t>
      </w:r>
      <w:r>
        <w:rPr>
          <w:lang w:val="en-GB"/>
        </w:rPr>
        <w:t>has anti-androgenic effects, resulting from</w:t>
      </w:r>
      <w:r w:rsidR="007355B4">
        <w:rPr>
          <w:lang w:val="en-GB"/>
        </w:rPr>
        <w:t xml:space="preserve"> its ability to</w:t>
      </w:r>
      <w:r w:rsidR="003B6C84">
        <w:rPr>
          <w:lang w:val="en-GB"/>
        </w:rPr>
        <w:t xml:space="preserve"> competitively</w:t>
      </w:r>
      <w:r w:rsidR="007355B4">
        <w:rPr>
          <w:lang w:val="en-GB"/>
        </w:rPr>
        <w:t xml:space="preserve"> </w:t>
      </w:r>
      <w:r w:rsidR="00454FBA">
        <w:rPr>
          <w:lang w:val="en-GB"/>
        </w:rPr>
        <w:t>inhibit</w:t>
      </w:r>
      <w:r w:rsidR="008D31FC">
        <w:rPr>
          <w:lang w:val="en-GB"/>
        </w:rPr>
        <w:t xml:space="preserve"> </w:t>
      </w:r>
      <w:r w:rsidR="00454FBA">
        <w:rPr>
          <w:lang w:val="en-GB"/>
        </w:rPr>
        <w:t xml:space="preserve">androgen-binding </w:t>
      </w:r>
      <w:r w:rsidR="008D31FC">
        <w:rPr>
          <w:lang w:val="en-GB"/>
        </w:rPr>
        <w:t>on the androgen receptor</w:t>
      </w:r>
      <w:r w:rsidR="007355B4">
        <w:rPr>
          <w:lang w:val="en-GB"/>
        </w:rPr>
        <w:t>,</w:t>
      </w:r>
      <w:r w:rsidR="008D31FC">
        <w:rPr>
          <w:lang w:val="en-GB"/>
        </w:rPr>
        <w:t xml:space="preserve"> translocation of the andr</w:t>
      </w:r>
      <w:r w:rsidR="00D431C7">
        <w:rPr>
          <w:lang w:val="en-GB"/>
        </w:rPr>
        <w:t>ogen receptor</w:t>
      </w:r>
      <w:r w:rsidR="007355B4">
        <w:rPr>
          <w:lang w:val="en-GB"/>
        </w:rPr>
        <w:t xml:space="preserve"> to the nucleus</w:t>
      </w:r>
      <w:r w:rsidR="00D431C7">
        <w:rPr>
          <w:lang w:val="en-GB"/>
        </w:rPr>
        <w:t xml:space="preserve">, and </w:t>
      </w:r>
      <w:r w:rsidR="007355B4">
        <w:rPr>
          <w:lang w:val="en-GB"/>
        </w:rPr>
        <w:t>inhibit</w:t>
      </w:r>
      <w:r w:rsidR="003D096C">
        <w:rPr>
          <w:lang w:val="en-GB"/>
        </w:rPr>
        <w:t>ion</w:t>
      </w:r>
      <w:r w:rsidR="00D431C7">
        <w:rPr>
          <w:lang w:val="en-GB"/>
        </w:rPr>
        <w:t xml:space="preserve"> </w:t>
      </w:r>
      <w:r w:rsidR="003B6C84">
        <w:rPr>
          <w:lang w:val="en-GB"/>
        </w:rPr>
        <w:t>at</w:t>
      </w:r>
      <w:r w:rsidR="00D431C7">
        <w:rPr>
          <w:lang w:val="en-GB"/>
        </w:rPr>
        <w:t xml:space="preserve"> </w:t>
      </w:r>
      <w:r w:rsidR="003B6C84">
        <w:rPr>
          <w:lang w:val="en-GB"/>
        </w:rPr>
        <w:t xml:space="preserve">the </w:t>
      </w:r>
      <w:r w:rsidR="008D31FC">
        <w:rPr>
          <w:lang w:val="en-GB"/>
        </w:rPr>
        <w:t xml:space="preserve">transcriptional level </w:t>
      </w:r>
      <w:r w:rsidR="008D31FC">
        <w:rPr>
          <w:lang w:val="en-GB"/>
        </w:rPr>
        <w:fldChar w:fldCharType="begin" w:fldLock="1"/>
      </w:r>
      <w:r w:rsidR="002C52CA">
        <w:rPr>
          <w:lang w:val="en-GB"/>
        </w:rPr>
        <w:instrText>ADDIN CSL_CITATION { "citationItems" : [ { "id" : "ITEM-1", "itemData" : { "ISSN" : "0008-543X", "PMID" : "8252496", "author" : [ { "dropping-particle" : "", "family" : "Schr\u00f6der", "given" : "F H", "non-dropping-particle" : "", "parse-names" : false, "suffix" : "" } ], "container-title" : "Cancer", "id" : "ITEM-1", "issue" : "12 Suppl", "issued" : { "date-parts" : [ [ "1993" ] ] }, "page" : "3810-5", "title" : "Cyproterone acetate--mechanism of action and clinical effectiveness in prostate cancer treatment.", "type" : "article-journal", "volume" : "72" }, "uris" : [ "http://www.mendeley.com/documents/?uuid=fe04ab1d-8112-445e-8af2-deac0fef0eb8" ] } ], "mendeley" : { "formattedCitation" : "(17)", "plainTextFormattedCitation" : "(17)", "previouslyFormattedCitation" : "(17)" }, "properties" : { "noteIndex" : 0 }, "schema" : "https://github.com/citation-style-language/schema/raw/master/csl-citation.json" }</w:instrText>
      </w:r>
      <w:r w:rsidR="008D31FC">
        <w:rPr>
          <w:lang w:val="en-GB"/>
        </w:rPr>
        <w:fldChar w:fldCharType="separate"/>
      </w:r>
      <w:r w:rsidR="00C7364E" w:rsidRPr="00C7364E">
        <w:rPr>
          <w:noProof/>
          <w:lang w:val="en-GB"/>
        </w:rPr>
        <w:t>(17)</w:t>
      </w:r>
      <w:r w:rsidR="008D31FC">
        <w:rPr>
          <w:lang w:val="en-GB"/>
        </w:rPr>
        <w:fldChar w:fldCharType="end"/>
      </w:r>
      <w:r>
        <w:rPr>
          <w:lang w:val="en-GB"/>
        </w:rPr>
        <w:t>.</w:t>
      </w:r>
      <w:r w:rsidR="008D31FC">
        <w:rPr>
          <w:lang w:val="en-GB"/>
        </w:rPr>
        <w:t xml:space="preserve"> </w:t>
      </w:r>
      <w:r w:rsidR="00CD7E68">
        <w:rPr>
          <w:lang w:val="en-GB"/>
        </w:rPr>
        <w:t>Extensive e</w:t>
      </w:r>
      <w:r w:rsidR="005A368E">
        <w:rPr>
          <w:lang w:val="en-GB"/>
        </w:rPr>
        <w:t>xperience has been gained in using</w:t>
      </w:r>
      <w:r w:rsidR="00AB3F41">
        <w:rPr>
          <w:lang w:val="en-GB"/>
        </w:rPr>
        <w:t xml:space="preserve"> </w:t>
      </w:r>
      <w:r w:rsidR="00D431C7">
        <w:rPr>
          <w:lang w:val="en-GB"/>
        </w:rPr>
        <w:t>CA in adult MtF trans</w:t>
      </w:r>
      <w:r w:rsidR="00493539">
        <w:rPr>
          <w:lang w:val="en-GB"/>
        </w:rPr>
        <w:t>gender</w:t>
      </w:r>
      <w:r w:rsidR="005A368E">
        <w:rPr>
          <w:lang w:val="en-GB"/>
        </w:rPr>
        <w:t xml:space="preserve"> </w:t>
      </w:r>
      <w:r>
        <w:rPr>
          <w:lang w:val="en-GB"/>
        </w:rPr>
        <w:t xml:space="preserve">individuals </w:t>
      </w:r>
      <w:r w:rsidR="005A368E">
        <w:rPr>
          <w:lang w:val="en-GB"/>
        </w:rPr>
        <w:t>in combination with estrogens</w:t>
      </w:r>
      <w:r w:rsidR="00D431C7">
        <w:rPr>
          <w:lang w:val="en-GB"/>
        </w:rPr>
        <w:t>,</w:t>
      </w:r>
      <w:r w:rsidR="005A368E">
        <w:rPr>
          <w:lang w:val="en-GB"/>
        </w:rPr>
        <w:t xml:space="preserve"> and in</w:t>
      </w:r>
      <w:r w:rsidR="00FD37C3">
        <w:rPr>
          <w:lang w:val="en-GB"/>
        </w:rPr>
        <w:t xml:space="preserve"> the</w:t>
      </w:r>
      <w:r w:rsidR="005A368E">
        <w:rPr>
          <w:lang w:val="en-GB"/>
        </w:rPr>
        <w:t xml:space="preserve"> treatment of hirsutism in </w:t>
      </w:r>
      <w:r>
        <w:rPr>
          <w:lang w:val="en-GB"/>
        </w:rPr>
        <w:t xml:space="preserve">(typical) </w:t>
      </w:r>
      <w:r w:rsidR="005A368E">
        <w:rPr>
          <w:lang w:val="en-GB"/>
        </w:rPr>
        <w:t xml:space="preserve">women </w:t>
      </w:r>
      <w:r w:rsidR="007A3EDC">
        <w:rPr>
          <w:lang w:val="en-GB"/>
        </w:rPr>
        <w:fldChar w:fldCharType="begin" w:fldLock="1"/>
      </w:r>
      <w:r w:rsidR="002C52CA">
        <w:rPr>
          <w:lang w:val="en-GB"/>
        </w:rPr>
        <w:instrText>ADDIN CSL_CITATION { "citationItems" : [ { "id" : "ITEM-1", "itemData" : { "DOI" : "10.1111/jsm.12571", "ISSN" : "17436095", "author" : [ { "dropping-particle" : "", "family" : "Wierckx", "given" : "Katrien", "non-dropping-particle" : "", "parse-names" : false, "suffix" : "" }, { "dropping-particle" : "", "family" : "Caenegem", "given" : "Eva", "non-dropping-particle" : "Van", "parse-names" : false, "suffix" : "" }, { "dropping-particle" : "", "family" : "Schreiner", "given" : "Thomas", "non-dropping-particle" : "", "parse-names" : false, "suffix" : "" }, { "dropping-particle" : "", "family" : "Haraldsen", "given" : "Ira", "non-dropping-particle" : "", "parse-names" : false, "suffix" : "" }, { "dropping-particle" : "", "family" : "Fisher", "given" : "Alessandra", "non-dropping-particle" : "", "parse-names" : false, "suffix" : "" }, { "dropping-particle" : "", "family" : "Toye", "given" : "Kaatje", "non-dropping-particle" : "", "parse-names" : false, "suffix" : "" }, { "dropping-particle" : "", "family" : "Kaufman", "given" : "Jean Marc", "non-dropping-particle" : "", "parse-names" : false, "suffix" : "" }, { "dropping-particle" : "", "family" : "T'Sjoen", "given" : "Guy", "non-dropping-particle" : "", "parse-names" : false, "suffix" : "" } ], "container-title" : "The Journal of Sexual Medicine", "id" : "ITEM-1", "issued" : { "date-parts" : [ [ "2014" ] ] }, "page" : "1999-2011", "title" : "Cross-Sex Hormone Therapy in Trans Persons Is Safe and Effective at Short-Time Follow-Up: Results from the European Network for the Investigation of Gender Incongruence", "type" : "article-journal", "volume" : "11" }, "uris" : [ "http://www.mendeley.com/documents/?uuid=ed3a7a4a-3e69-4e5a-b892-b9eca8c4e3e8" ] }, { "id" : "ITEM-2", "itemData" : { "DOI" : "10.1016/j.jpag.2009.03.007", "ISSN" : "10833188", "author" : [ { "dropping-particle" : "", "family" : "Hawryluk", "given" : "Elena Balestreire", "non-dropping-particle" : "", "parse-names" : false, "suffix" : "" }, { "dropping-particle" : "", "family" : "English", "given" : "Joseph C.", "non-dropping-particle" : "", "parse-names" : false, "suffix" : "" } ], "container-title" : "Journal of Pediatric and Adolescent Gynecology", "id" : "ITEM-2", "issue" : "4", "issued" : { "date-parts" : [ [ "2009" ] ] }, "page" : "271-281", "publisher" : "Elsevier Inc", "title" : "Female Adolescent Hair Disorders", "type" : "article-journal", "volume" : "22" }, "uris" : [ "http://www.mendeley.com/documents/?uuid=dde3a263-1b85-4942-b49a-c0ea946d68a7" ] } ], "mendeley" : { "formattedCitation" : "(18,19)", "plainTextFormattedCitation" : "(18,19)", "previouslyFormattedCitation" : "(18,19)" }, "properties" : { "noteIndex" : 0 }, "schema" : "https://github.com/citation-style-language/schema/raw/master/csl-citation.json" }</w:instrText>
      </w:r>
      <w:r w:rsidR="007A3EDC">
        <w:rPr>
          <w:lang w:val="en-GB"/>
        </w:rPr>
        <w:fldChar w:fldCharType="separate"/>
      </w:r>
      <w:r w:rsidR="00C7364E" w:rsidRPr="00C7364E">
        <w:rPr>
          <w:noProof/>
          <w:lang w:val="en-GB"/>
        </w:rPr>
        <w:t>(18,19)</w:t>
      </w:r>
      <w:r w:rsidR="007A3EDC">
        <w:rPr>
          <w:lang w:val="en-GB"/>
        </w:rPr>
        <w:fldChar w:fldCharType="end"/>
      </w:r>
      <w:r w:rsidR="005A368E">
        <w:rPr>
          <w:lang w:val="en-GB"/>
        </w:rPr>
        <w:t>. Because of its anti-androgenic properties, CA dec</w:t>
      </w:r>
      <w:r w:rsidR="003B6C84">
        <w:rPr>
          <w:lang w:val="en-GB"/>
        </w:rPr>
        <w:t>reases growth of body hair and to a</w:t>
      </w:r>
      <w:r w:rsidR="005A368E">
        <w:rPr>
          <w:lang w:val="en-GB"/>
        </w:rPr>
        <w:t xml:space="preserve"> lesser extent facial hair</w:t>
      </w:r>
      <w:r w:rsidR="00CD7E68">
        <w:rPr>
          <w:lang w:val="en-GB"/>
        </w:rPr>
        <w:t xml:space="preserve">, </w:t>
      </w:r>
      <w:r>
        <w:rPr>
          <w:lang w:val="en-GB"/>
        </w:rPr>
        <w:t>and</w:t>
      </w:r>
      <w:r w:rsidR="00CD7E68">
        <w:rPr>
          <w:lang w:val="en-GB"/>
        </w:rPr>
        <w:t xml:space="preserve"> diminish</w:t>
      </w:r>
      <w:r>
        <w:rPr>
          <w:lang w:val="en-GB"/>
        </w:rPr>
        <w:t>es</w:t>
      </w:r>
      <w:r w:rsidR="005A368E">
        <w:rPr>
          <w:lang w:val="en-GB"/>
        </w:rPr>
        <w:t xml:space="preserve"> sexual desire, which </w:t>
      </w:r>
      <w:r>
        <w:rPr>
          <w:lang w:val="en-GB"/>
        </w:rPr>
        <w:t xml:space="preserve">is </w:t>
      </w:r>
      <w:r w:rsidR="008F52EE">
        <w:rPr>
          <w:lang w:val="en-GB"/>
        </w:rPr>
        <w:t>also</w:t>
      </w:r>
      <w:r w:rsidR="00CD7E68">
        <w:rPr>
          <w:lang w:val="en-GB"/>
        </w:rPr>
        <w:t xml:space="preserve"> a cause</w:t>
      </w:r>
      <w:r w:rsidR="005A368E">
        <w:rPr>
          <w:lang w:val="en-GB"/>
        </w:rPr>
        <w:t xml:space="preserve"> of distress in natal males with GD </w:t>
      </w:r>
      <w:r w:rsidR="007A3EDC">
        <w:rPr>
          <w:lang w:val="en-GB"/>
        </w:rPr>
        <w:fldChar w:fldCharType="begin" w:fldLock="1"/>
      </w:r>
      <w:r w:rsidR="002C52CA">
        <w:rPr>
          <w:lang w:val="en-GB"/>
        </w:rPr>
        <w:instrText>ADDIN CSL_CITATION { "citationItems" : [ { "id" : "ITEM-1", "itemData" : { "DOI" : "10.1210/jcem.85.8.6710", "ISSN" : "0021-972X (Print)", "PMID" : "10946903", "author" : [ { "dropping-particle" : "", "family" : "Giltay", "given" : "E J", "non-dropping-particle" : "", "parse-names" : false, "suffix" : "" }, { "dropping-particle" : "", "family" : "Gooren", "given" : "L J G", "non-dropping-particle" : "", "parse-names" : false, "suffix" : "" } ], "id" : "ITEM-1", "issue" : "8", "issued" : { "date-parts" : [ [ "2014" ] ] }, "title" : "Effects of Sex Steroid Deprivation / Administration on Hair Growth and Skin Sebum Production in Transsexual", "type" : "article-journal", "volume" : "85" }, "uris" : [ "http://www.mendeley.com/documents/?uuid=7ba4eecb-20ac-41fb-9a7c-c81c54fd72db" ] }, { "id" : "ITEM-2", "itemData" : { "ISBN" : "0007-1250 (Print)\\r0007-1250 (Linking)", "PMID" : "5041520", "author" : [ { "dropping-particle" : "", "family" : "Cooper", "given" : "A J", "non-dropping-particle" : "", "parse-names" : false, "suffix" : "" }, { "dropping-particle" : "", "family" : "Ismail", "given" : "A A", "non-dropping-particle" : "", "parse-names" : false, "suffix" : "" }, { "dropping-particle" : "", "family" : "Phanjoo", "given" : "A L", "non-dropping-particle" : "", "parse-names" : false, "suffix" : "" }, { "dropping-particle" : "", "family" : "Love", "given" : "D L", "non-dropping-particle" : "", "parse-names" : false, "suffix" : "" } ], "container-title" : "Br J Psychiatry", "id" : "ITEM-2", "issue" : "554", "issued" : { "date-parts" : [ [ "1972" ] ] }, "page" : "59-63", "title" : "Antiandrogen (cyproterone acetate) therapy in deviant hypersexuality", "type" : "article-journal", "volume" : "120" }, "uris" : [ "http://www.mendeley.com/documents/?uuid=61af420e-4bfe-4c0a-b7a2-d7e7329a565c" ] }, { "id" : "ITEM-3", "itemData" : { "DOI" : "10.1177/030006057400200211", "ISBN" : "0300-0605 (Print)\\r0300-0605 (Linking)", "ISSN" : "0300-0605", "PMID" : "4468912", "author" : [ { "dropping-particle" : "", "family" : "Davies", "given" : "T S", "non-dropping-particle" : "", "parse-names" : false, "suffix" : "" } ], "container-title" : "Journal of International Medical Research", "id" : "ITEM-3", "issue" : "159", "issued" : { "date-parts" : [ [ "1974" ] ] }, "title" : "Cyproterone Acetate for Male Hypersexuality", "type" : "article-journal", "volume" : "2" }, "uris" : [ "http://www.mendeley.com/documents/?uuid=4aa5a012-72fd-4646-a80d-25162479a7fa" ] } ], "mendeley" : { "formattedCitation" : "(20\u201322)", "plainTextFormattedCitation" : "(20\u201322)", "previouslyFormattedCitation" : "(20\u201322)" }, "properties" : { "noteIndex" : 0 }, "schema" : "https://github.com/citation-style-language/schema/raw/master/csl-citation.json" }</w:instrText>
      </w:r>
      <w:r w:rsidR="007A3EDC">
        <w:rPr>
          <w:lang w:val="en-GB"/>
        </w:rPr>
        <w:fldChar w:fldCharType="separate"/>
      </w:r>
      <w:r w:rsidR="00C7364E" w:rsidRPr="00C7364E">
        <w:rPr>
          <w:noProof/>
          <w:lang w:val="en-GB"/>
        </w:rPr>
        <w:t>(20–22)</w:t>
      </w:r>
      <w:r w:rsidR="007A3EDC">
        <w:rPr>
          <w:lang w:val="en-GB"/>
        </w:rPr>
        <w:fldChar w:fldCharType="end"/>
      </w:r>
      <w:r w:rsidR="005A368E">
        <w:rPr>
          <w:lang w:val="en-GB"/>
        </w:rPr>
        <w:t xml:space="preserve">. CA has been reported to be effective in </w:t>
      </w:r>
      <w:r w:rsidR="006279A4">
        <w:rPr>
          <w:lang w:val="en-GB"/>
        </w:rPr>
        <w:t xml:space="preserve">suppressing gonadotropin-independent precocious puberty and </w:t>
      </w:r>
      <w:r w:rsidR="003B6C84">
        <w:rPr>
          <w:lang w:val="en-GB"/>
        </w:rPr>
        <w:t xml:space="preserve">central </w:t>
      </w:r>
      <w:r w:rsidR="006279A4">
        <w:rPr>
          <w:lang w:val="en-GB"/>
        </w:rPr>
        <w:t>precocious puberty</w:t>
      </w:r>
      <w:r w:rsidR="005A368E">
        <w:rPr>
          <w:lang w:val="en-GB"/>
        </w:rPr>
        <w:t xml:space="preserve"> before </w:t>
      </w:r>
      <w:r w:rsidR="006279A4">
        <w:rPr>
          <w:lang w:val="en-GB"/>
        </w:rPr>
        <w:t xml:space="preserve">the introduction of </w:t>
      </w:r>
      <w:r w:rsidR="005A368E">
        <w:rPr>
          <w:lang w:val="en-GB"/>
        </w:rPr>
        <w:t xml:space="preserve">GnRHa </w:t>
      </w:r>
      <w:r w:rsidR="007A3EDC">
        <w:rPr>
          <w:lang w:val="en-GB"/>
        </w:rPr>
        <w:fldChar w:fldCharType="begin" w:fldLock="1"/>
      </w:r>
      <w:r w:rsidR="002C52CA">
        <w:rPr>
          <w:lang w:val="en-GB"/>
        </w:rPr>
        <w:instrText>ADDIN CSL_CITATION { "citationItems" : [ { "id" : "ITEM-1", "itemData" : { "DOI" : "10.1111/j.1365-2265.2007.03160.x", "ISSN" : "1365-2265", "PMID" : "18088394", "abstract" : "BACKGROUND: Familial male-limited precocious puberty (FMPP) or testotoxicosis is a rare gonadotrophin-independent form of sexual precocity caused by constitutively activating mutations of the LH receptor. Several clinical therapeutic approaches have been reported for this disorder, but with a paucity of long-term outcome data.\\n\\nOBJECTIVE: To evaluate the long-term treatment of testotoxicosis with cyproterone acetate or ketoconazole.\\n\\nDESIGN: A multicentric retrospective clinical study.\\n\\nPATIENTS: Ten boys from eight unrelated Brazilian families who carried known LH-receptor activating mutations were treated with 70 mg/m(2) cyproterone acetate (n = 5) or 10 mg/kg ketoconazole (n = 5) for a mean period of 5 and 8 years, respectively.\\n\\nMEASUREMENTS: Chronological and bone ages, bone age/chronological age ratio, target height (TH) range, adult height, basal and GnRH-stimulated gonadotrophin levels and basal testosterone levels were assessed.\\n\\nRESULTS: Growth velocity decreased significantly during treatment with cyproterone acetate or ketoconazole when compared to pretreatment value in each group (P &lt; 0.05). Bone age/chronological age ratio decreased significantly after cyproterone acetate or ketoconazole therapy. Basal testosterone levels were significantly lower in patients undergoing ketoconazole compared to cyproterone acetate treatment [0.6 +/- 0.3 nmol/l (42 +/- 21 ng/dl) vs. 5.6 +/- 4.0 nmol/l (392 +/- 280 ng/dl); P &lt; 0.05], as expected. Secondary gonadotrophin-dependent precocious puberty occurred at a similar frequency (40%) in both groups. Five patients have attained adult height and two patients have already reached 90% of their adult height. Two of them achieved their TH range and one patient, for whom TH was not available, had an adult height of 0.3 SDS. Four boys (two in each group) did not attain their TH range.\\n\\nCONCLUSION: Long-term treatment with cyproterone acetate or ketoconazole resulted in similar outcomes without important side-effects in boys with testotoxicosis. However, both therapies showed limited efficacy in attaining normal adult height.", "author" : [ { "dropping-particle" : "", "family" : "Almeida", "given" : "Madson Queiroz", "non-dropping-particle" : "", "parse-names" : false, "suffix" : "" }, { "dropping-particle" : "", "family" : "Brito", "given" : "Vinicius Nahime", "non-dropping-particle" : "", "parse-names" : false, "suffix" : "" }, { "dropping-particle" : "", "family" : "Lins", "given" : "Thereza Selma S", "non-dropping-particle" : "", "parse-names" : false, "suffix" : "" }, { "dropping-particle" : "", "family" : "Guerra-Junior", "given" : "Gil", "non-dropping-particle" : "", "parse-names" : false, "suffix" : "" }, { "dropping-particle" : "", "family" : "Castro", "given" : "Margaret", "non-dropping-particle" : "de", "parse-names" : false, "suffix" : "" }, { "dropping-particle" : "", "family" : "Antonini", "given" : "Sonir Roberto", "non-dropping-particle" : "", "parse-names" : false, "suffix" : "" }, { "dropping-particle" : "", "family" : "Arnhold", "given" : "Ivo Jorge Prado", "non-dropping-particle" : "", "parse-names" : false, "suffix" : "" }, { "dropping-particle" : "", "family" : "Mendonca", "given" : "Berenice Bilharinho", "non-dropping-particle" : "", "parse-names" : false, "suffix" : "" }, { "dropping-particle" : "", "family" : "Latronico", "given" : "Ana Claudia", "non-dropping-particle" : "", "parse-names" : false, "suffix" : "" } ], "container-title" : "Clinical endocrinology", "id" : "ITEM-1", "issue" : "1", "issued" : { "date-parts" : [ [ "2008" ] ] }, "page" : "93-8", "title" : "Long-term treatment of familial male-limited precocious puberty (testotoxicosis) with cyproterone acetate or ketoconazole.", "type" : "article-journal", "volume" : "69" }, "uris" : [ "http://www.mendeley.com/documents/?uuid=b75fd8d1-6a2d-4f29-9542-95b28467d624" ] }, { "id" : "ITEM-2", "itemData" : { "author" : [ { "dropping-particle" : "", "family" : "Werder", "given" : "EA", "non-dropping-particle" : "", "parse-names" : false, "suffix" : "" }, { "dropping-particle" : "", "family" : "Murset", "given" : "G", "non-dropping-particle" : "", "parse-names" : false, "suffix" : "" }, { "dropping-particle" : "", "family" : "Zachmann", "given" : "M", "non-dropping-particle" : "", "parse-names" : false, "suffix" : "" } ], "container-title" : "Pediatric Research", "id" : "ITEM-2", "issued" : { "date-parts" : [ [ "1974" ] ] }, "page" : "248-256", "title" : "Treatment of precocious puberty with cyproterone acetate.", "type" : "article-journal", "volume" : "8" }, "uris" : [ "http://www.mendeley.com/documents/?uuid=b0b1ff1f-e365-4dee-9dad-8c5ccf92bbd8" ] } ], "mendeley" : { "formattedCitation" : "(23,24)", "plainTextFormattedCitation" : "(23,24)", "previouslyFormattedCitation" : "(23,24)" }, "properties" : { "noteIndex" : 0 }, "schema" : "https://github.com/citation-style-language/schema/raw/master/csl-citation.json" }</w:instrText>
      </w:r>
      <w:r w:rsidR="007A3EDC">
        <w:rPr>
          <w:lang w:val="en-GB"/>
        </w:rPr>
        <w:fldChar w:fldCharType="separate"/>
      </w:r>
      <w:r w:rsidR="00C7364E" w:rsidRPr="00C7364E">
        <w:rPr>
          <w:noProof/>
          <w:lang w:val="en-GB"/>
        </w:rPr>
        <w:t>(23,24)</w:t>
      </w:r>
      <w:r w:rsidR="007A3EDC">
        <w:rPr>
          <w:lang w:val="en-GB"/>
        </w:rPr>
        <w:fldChar w:fldCharType="end"/>
      </w:r>
      <w:r w:rsidR="005A368E">
        <w:rPr>
          <w:lang w:val="en-GB"/>
        </w:rPr>
        <w:t xml:space="preserve">. </w:t>
      </w:r>
      <w:r w:rsidR="006279A4">
        <w:rPr>
          <w:lang w:val="en-GB"/>
        </w:rPr>
        <w:t>Elevations of</w:t>
      </w:r>
      <w:r w:rsidR="005A368E">
        <w:rPr>
          <w:lang w:val="en-GB"/>
        </w:rPr>
        <w:t xml:space="preserve"> prolactin</w:t>
      </w:r>
      <w:r w:rsidR="00181B3E">
        <w:rPr>
          <w:lang w:val="en-GB"/>
        </w:rPr>
        <w:t xml:space="preserve"> (PRL)</w:t>
      </w:r>
      <w:r w:rsidR="005A368E">
        <w:rPr>
          <w:lang w:val="en-GB"/>
        </w:rPr>
        <w:t xml:space="preserve"> levels and </w:t>
      </w:r>
      <w:r w:rsidR="006279A4">
        <w:rPr>
          <w:lang w:val="en-GB"/>
        </w:rPr>
        <w:t xml:space="preserve">the </w:t>
      </w:r>
      <w:r w:rsidR="005A368E">
        <w:rPr>
          <w:lang w:val="en-GB"/>
        </w:rPr>
        <w:t>stimulation of growth of menigioma</w:t>
      </w:r>
      <w:r>
        <w:rPr>
          <w:lang w:val="en-GB"/>
        </w:rPr>
        <w:t>s</w:t>
      </w:r>
      <w:r w:rsidR="005A368E">
        <w:rPr>
          <w:lang w:val="en-GB"/>
        </w:rPr>
        <w:t xml:space="preserve"> and prolactinoma</w:t>
      </w:r>
      <w:r>
        <w:rPr>
          <w:lang w:val="en-GB"/>
        </w:rPr>
        <w:t>s</w:t>
      </w:r>
      <w:r w:rsidR="005A368E">
        <w:rPr>
          <w:lang w:val="en-GB"/>
        </w:rPr>
        <w:t xml:space="preserve"> </w:t>
      </w:r>
      <w:r w:rsidR="003B6C84">
        <w:rPr>
          <w:lang w:val="en-GB"/>
        </w:rPr>
        <w:t>have been reported</w:t>
      </w:r>
      <w:r w:rsidR="005A368E">
        <w:rPr>
          <w:lang w:val="en-GB"/>
        </w:rPr>
        <w:t xml:space="preserve"> </w:t>
      </w:r>
      <w:r w:rsidR="007A3EDC">
        <w:rPr>
          <w:lang w:val="en-GB"/>
        </w:rPr>
        <w:fldChar w:fldCharType="begin" w:fldLock="1"/>
      </w:r>
      <w:r w:rsidR="002C52CA">
        <w:rPr>
          <w:lang w:val="en-GB"/>
        </w:rPr>
        <w:instrText>ADDIN CSL_CITATION { "citationItems" : [ { "id" : "ITEM-1", "itemData" : { "DOI" : "10.3174/ajnr.A1978", "ISBN" : "0001-6268", "ISSN" : "0195-6108", "author" : [ { "dropping-particle" : "", "family" : "Goncalves", "given" : "A. M. G.", "non-dropping-particle" : "", "parse-names" : false, "suffix" : "" }, { "dropping-particle" : "", "family" : "Page", "given" : "P.", "non-dropping-particle" : "", "parse-names" : false, "suffix" : "" }, { "dropping-particle" : "", "family" : "Domigo", "given" : "V.", "non-dropping-particle" : "", "parse-names" : false, "suffix" : "" }, { "dropping-particle" : "", "family" : "Meder", "given" : "J.- F.", "non-dropping-particle" : "", "parse-names" : false, "suffix" : "" }, { "dropping-particle" : "", "family" : "Oppenheim", "given" : "C.", "non-dropping-particle" : "", "parse-names" : false, "suffix" : "" } ], "container-title" : "American Journal of Neuroradiology", "id" : "ITEM-1", "issue" : "8", "issued" : { "date-parts" : [ [ "2010" ] ] }, "page" : "1504-1505", "title" : "Abrupt Regression of a Meningioma after Discontinuation of Cyproterone Treatment", "type" : "article-journal", "volume" : "31" }, "uris" : [ "http://www.mendeley.com/documents/?uuid=79d1cbe0-205f-4719-9e08-d492440572d9" ] }, { "id" : "ITEM-2", "itemData" : { "DOI" : "10.1016/j.fertnstert.2010.01.076", "ISSN" : "00150282", "author" : [ { "dropping-particle" : "", "family" : "Garc\u00eda-Malpartida", "given" : "Katherine", "non-dropping-particle" : "", "parse-names" : false, "suffix" : "" }, { "dropping-particle" : "", "family" : "Mart\u00edn-Gorgojo", "given" : "Alejandro", "non-dropping-particle" : "", "parse-names" : false, "suffix" : "" }, { "dropping-particle" : "", "family" : "Rocha", "given" : "Milagros", "non-dropping-particle" : "", "parse-names" : false, "suffix" : "" }, { "dropping-particle" : "", "family" : "G\u00f3mez-Balaguer", "given" : "Marcelino", "non-dropping-particle" : "", "parse-names" : false, "suffix" : "" }, { "dropping-particle" : "", "family" : "Hern\u00e1ndez-Mijares", "given" : "Antonio", "non-dropping-particle" : "", "parse-names" : false, "suffix" : "" } ], "container-title" : "Fertility and Sterility", "id" : "ITEM-2", "issue" : "3", "issued" : { "date-parts" : [ [ "2010" ] ] }, "page" : "1097.e13-1097.e15", "title" : "Prolactinoma induced by estrogen and cyproterone acetate in a male-to-female transsexual", "type" : "article-journal", "volume" : "94" }, "uris" : [ "http://www.mendeley.com/documents/?uuid=85dd0997-92ce-4962-bc7d-c116a49bd015" ] } ], "mendeley" : { "formattedCitation" : "(25,26)", "plainTextFormattedCitation" : "(25,26)", "previouslyFormattedCitation" : "(25,26)" }, "properties" : { "noteIndex" : 0 }, "schema" : "https://github.com/citation-style-language/schema/raw/master/csl-citation.json" }</w:instrText>
      </w:r>
      <w:r w:rsidR="007A3EDC">
        <w:rPr>
          <w:lang w:val="en-GB"/>
        </w:rPr>
        <w:fldChar w:fldCharType="separate"/>
      </w:r>
      <w:r w:rsidR="00C7364E" w:rsidRPr="00C7364E">
        <w:rPr>
          <w:noProof/>
          <w:lang w:val="en-GB"/>
        </w:rPr>
        <w:t>(25,26)</w:t>
      </w:r>
      <w:r w:rsidR="007A3EDC">
        <w:rPr>
          <w:lang w:val="en-GB"/>
        </w:rPr>
        <w:fldChar w:fldCharType="end"/>
      </w:r>
      <w:r w:rsidR="005A368E">
        <w:rPr>
          <w:lang w:val="en-GB"/>
        </w:rPr>
        <w:t>.</w:t>
      </w:r>
    </w:p>
    <w:p w14:paraId="0105D312" w14:textId="1412F670" w:rsidR="00621ECE" w:rsidRDefault="00621ECE" w:rsidP="008F52EE">
      <w:pPr>
        <w:pStyle w:val="Kop3"/>
        <w:rPr>
          <w:lang w:val="en-GB"/>
        </w:rPr>
      </w:pPr>
      <w:bookmarkStart w:id="21" w:name="_Toc451961477"/>
      <w:r>
        <w:rPr>
          <w:lang w:val="en-GB"/>
        </w:rPr>
        <w:lastRenderedPageBreak/>
        <w:t>Lynestrenol</w:t>
      </w:r>
      <w:bookmarkEnd w:id="21"/>
    </w:p>
    <w:p w14:paraId="1E7D2752" w14:textId="75C812B8" w:rsidR="005A368E" w:rsidRPr="0081786C" w:rsidRDefault="00181B3E" w:rsidP="00963581">
      <w:pPr>
        <w:autoSpaceDE w:val="0"/>
        <w:autoSpaceDN w:val="0"/>
        <w:adjustRightInd w:val="0"/>
        <w:spacing w:after="0" w:line="360" w:lineRule="auto"/>
        <w:jc w:val="both"/>
        <w:rPr>
          <w:lang w:val="en-US"/>
        </w:rPr>
      </w:pPr>
      <w:r>
        <w:rPr>
          <w:lang w:val="en-GB"/>
        </w:rPr>
        <w:t>In FtM</w:t>
      </w:r>
      <w:r w:rsidR="00D431C7">
        <w:rPr>
          <w:lang w:val="en-GB"/>
        </w:rPr>
        <w:t xml:space="preserve"> trans</w:t>
      </w:r>
      <w:r w:rsidR="00493539">
        <w:rPr>
          <w:lang w:val="en-GB"/>
        </w:rPr>
        <w:t>gender</w:t>
      </w:r>
      <w:r>
        <w:rPr>
          <w:lang w:val="en-GB"/>
        </w:rPr>
        <w:t xml:space="preserve"> adolescents</w:t>
      </w:r>
      <w:r w:rsidR="00D431C7">
        <w:rPr>
          <w:lang w:val="en-GB"/>
        </w:rPr>
        <w:t>,</w:t>
      </w:r>
      <w:r>
        <w:rPr>
          <w:lang w:val="en-GB"/>
        </w:rPr>
        <w:t xml:space="preserve"> </w:t>
      </w:r>
      <w:r w:rsidR="00AB3F41">
        <w:rPr>
          <w:lang w:val="en-GB"/>
        </w:rPr>
        <w:t>androgenic progestin</w:t>
      </w:r>
      <w:r>
        <w:rPr>
          <w:lang w:val="en-GB"/>
        </w:rPr>
        <w:t>s</w:t>
      </w:r>
      <w:r w:rsidR="008E4122">
        <w:rPr>
          <w:lang w:val="en-GB"/>
        </w:rPr>
        <w:t xml:space="preserve"> such as L</w:t>
      </w:r>
      <w:r w:rsidR="00AB3F41">
        <w:rPr>
          <w:lang w:val="en-GB"/>
        </w:rPr>
        <w:t xml:space="preserve"> can be used to reduce the psychological burden of menstruation. </w:t>
      </w:r>
      <w:r w:rsidR="00CC7CFF" w:rsidRPr="00CC7CFF">
        <w:rPr>
          <w:lang w:val="en-GB"/>
        </w:rPr>
        <w:t>L is a prodrug that is converted to norethisterone</w:t>
      </w:r>
      <w:r w:rsidR="00CC7CFF">
        <w:rPr>
          <w:lang w:val="en-GB"/>
        </w:rPr>
        <w:t xml:space="preserve"> </w:t>
      </w:r>
      <w:r w:rsidR="007A3EDC">
        <w:rPr>
          <w:lang w:val="en-GB"/>
        </w:rPr>
        <w:fldChar w:fldCharType="begin" w:fldLock="1"/>
      </w:r>
      <w:r w:rsidR="002C52CA">
        <w:rPr>
          <w:lang w:val="en-GB"/>
        </w:rPr>
        <w:instrText>ADDIN CSL_CITATION { "citationItems" : [ { "id" : "ITEM-1", "itemData" : { "DOI" : "10.1016/j.maturitas.2003.09.014", "ISSN" : "03785122", "author" : [ { "dropping-particle" : "", "family" : "Schindler", "given" : "Adolf E", "non-dropping-particle" : "", "parse-names" : false, "suffix" : "" }, { "dropping-particle" : "", "family" : "Campagnoli", "given" : "Carlo", "non-dropping-particle" : "", "parse-names" : false, "suffix" : "" }, { "dropping-particle" : "", "family" : "Druckmann", "given" : "Ren\u00e9", "non-dropping-particle" : "", "parse-names" : false, "suffix" : "" }, { "dropping-particle" : "", "family" : "Huber", "given" : "Johannes", "non-dropping-particle" : "", "parse-names" : false, "suffix" : "" }, { "dropping-particle" : "", "family" : "Pasqualini", "given" : "Jorge R", "non-dropping-particle" : "", "parse-names" : false, "suffix" : "" }, { "dropping-particle" : "", "family" : "Schweppe", "given" : "Karl W", "non-dropping-particle" : "", "parse-names" : false, "suffix" : "" }, { "dropping-particle" : "", "family" : "Thijssen", "given" : "Jos H.H", "non-dropping-particle" : "", "parse-names" : false, "suffix" : "" } ], "container-title" : "Maturitas", "id" : "ITEM-1", "issued" : { "date-parts" : [ [ "2003" ] ] }, "page" : "7-16", "title" : "Classification and pharmacology of progestins", "type" : "article-journal", "volume" : "46" }, "uris" : [ "http://www.mendeley.com/documents/?uuid=9eaeecdf-aa12-4efd-b34a-4423471167d0" ] } ], "mendeley" : { "formattedCitation" : "(27)", "plainTextFormattedCitation" : "(27)", "previouslyFormattedCitation" : "(27)" }, "properties" : { "noteIndex" : 0 }, "schema" : "https://github.com/citation-style-language/schema/raw/master/csl-citation.json" }</w:instrText>
      </w:r>
      <w:r w:rsidR="007A3EDC">
        <w:rPr>
          <w:lang w:val="en-GB"/>
        </w:rPr>
        <w:fldChar w:fldCharType="separate"/>
      </w:r>
      <w:r w:rsidR="00C7364E" w:rsidRPr="00C7364E">
        <w:rPr>
          <w:noProof/>
          <w:lang w:val="en-GB"/>
        </w:rPr>
        <w:t>(27)</w:t>
      </w:r>
      <w:r w:rsidR="007A3EDC">
        <w:rPr>
          <w:lang w:val="en-GB"/>
        </w:rPr>
        <w:fldChar w:fldCharType="end"/>
      </w:r>
      <w:r w:rsidR="00CC7CFF" w:rsidRPr="00CC7CFF">
        <w:rPr>
          <w:lang w:val="en-GB"/>
        </w:rPr>
        <w:t>.</w:t>
      </w:r>
      <w:r w:rsidR="00CC7CFF">
        <w:rPr>
          <w:lang w:val="en-GB"/>
        </w:rPr>
        <w:t xml:space="preserve"> </w:t>
      </w:r>
      <w:r w:rsidR="00CC7CFF" w:rsidRPr="00CC7CFF">
        <w:rPr>
          <w:lang w:val="en-GB"/>
        </w:rPr>
        <w:t>It is an androgenic, first generation progestin of the 19-nortestosterone steroids family that is commonly used as</w:t>
      </w:r>
      <w:r w:rsidR="00CC7CFF">
        <w:rPr>
          <w:lang w:val="en-GB"/>
        </w:rPr>
        <w:t xml:space="preserve"> </w:t>
      </w:r>
      <w:r w:rsidR="00CC7CFF" w:rsidRPr="00CC7CFF">
        <w:rPr>
          <w:lang w:val="en-GB"/>
        </w:rPr>
        <w:t>hormonal replacement therapy in postmenopausal</w:t>
      </w:r>
      <w:r w:rsidR="00CC7CFF">
        <w:rPr>
          <w:lang w:val="en-GB"/>
        </w:rPr>
        <w:t xml:space="preserve"> </w:t>
      </w:r>
      <w:r w:rsidR="00CC7CFF" w:rsidRPr="00CC7CFF">
        <w:rPr>
          <w:lang w:val="en-GB"/>
        </w:rPr>
        <w:t xml:space="preserve">women or to treat endometriosis </w:t>
      </w:r>
      <w:r w:rsidR="007A3EDC">
        <w:rPr>
          <w:lang w:val="en-GB"/>
        </w:rPr>
        <w:fldChar w:fldCharType="begin" w:fldLock="1"/>
      </w:r>
      <w:r w:rsidR="002C52CA">
        <w:rPr>
          <w:lang w:val="en-GB"/>
        </w:rPr>
        <w:instrText>ADDIN CSL_CITATION { "citationItems" : [ { "id" : "ITEM-1", "itemData" : { "DOI" : "10.1016/j.jsbmb.2013.12.003", "ISSN" : "18791220", "PMID" : "24333799", "abstract" : "After a worldwide breakdown of hormone therapy [HT] following the publications of the Women's Health Initiative trial and Million Women's Study in 2002-2003, there is now a trend to turn attention again to HT and to explore particular progestogens, which have been discredited with respect to their side effects. The progestogens to be considered should control undue proliferation of the endometrium and should not interfere negatively with the positive effects of estradiol, regarding carbohydrate and lipid metabolism as well as hemostasis. In the present review, three \"newer progestogens\" are scrutinized regarding their various actions, in combination with estradiol; the progestogens include dienogest, drospirenone and nomegestrol acetate. This article is part of a special issue entitled Menopause. ?? 2013 Published by Elsevier Ltd.", "author" : [ { "dropping-particle" : "", "family" : "Schindler", "given" : "Adolf E.", "non-dropping-particle" : "", "parse-names" : false, "suffix" : "" } ], "container-title" : "Journal of Steroid Biochemistry and Molecular Biology", "id" : "ITEM-1", "issued" : { "date-parts" : [ [ "2014" ] ] }, "page" : "48-51", "publisher" : "Elsevier Ltd", "title" : "The \"newer\" progestogens and postmenopausal hormone therapy (HRT)", "type" : "article-journal", "volume" : "142" }, "uris" : [ "http://www.mendeley.com/documents/?uuid=c6010986-1b2e-430b-9a7b-f7181f21a9ce" ] } ], "mendeley" : { "formattedCitation" : "(28)", "plainTextFormattedCitation" : "(28)", "previouslyFormattedCitation" : "(28)" }, "properties" : { "noteIndex" : 0 }, "schema" : "https://github.com/citation-style-language/schema/raw/master/csl-citation.json" }</w:instrText>
      </w:r>
      <w:r w:rsidR="007A3EDC">
        <w:rPr>
          <w:lang w:val="en-GB"/>
        </w:rPr>
        <w:fldChar w:fldCharType="separate"/>
      </w:r>
      <w:r w:rsidR="00C7364E" w:rsidRPr="00C7364E">
        <w:rPr>
          <w:noProof/>
          <w:lang w:val="en-GB"/>
        </w:rPr>
        <w:t>(28)</w:t>
      </w:r>
      <w:r w:rsidR="007A3EDC">
        <w:rPr>
          <w:lang w:val="en-GB"/>
        </w:rPr>
        <w:fldChar w:fldCharType="end"/>
      </w:r>
      <w:r w:rsidR="00CC7CFF" w:rsidRPr="00CC7CFF">
        <w:rPr>
          <w:lang w:val="en-GB"/>
        </w:rPr>
        <w:t>. Older studies</w:t>
      </w:r>
      <w:r w:rsidR="00CC7CFF">
        <w:rPr>
          <w:lang w:val="en-GB"/>
        </w:rPr>
        <w:t xml:space="preserve"> </w:t>
      </w:r>
      <w:r w:rsidR="00CC7CFF" w:rsidRPr="00CC7CFF">
        <w:rPr>
          <w:lang w:val="en-GB"/>
        </w:rPr>
        <w:t>have revealed that 19-nortestosterone derivates moderately</w:t>
      </w:r>
      <w:r w:rsidR="00CC7CFF">
        <w:rPr>
          <w:lang w:val="en-GB"/>
        </w:rPr>
        <w:t xml:space="preserve"> </w:t>
      </w:r>
      <w:r w:rsidR="00CC7CFF" w:rsidRPr="00CC7CFF">
        <w:rPr>
          <w:lang w:val="en-GB"/>
        </w:rPr>
        <w:t>decrease serum triglyceride levels and deteriorate</w:t>
      </w:r>
      <w:r w:rsidR="008E4122">
        <w:rPr>
          <w:lang w:val="en-GB"/>
        </w:rPr>
        <w:t xml:space="preserve"> </w:t>
      </w:r>
      <w:r w:rsidR="00CC7CFF" w:rsidRPr="00CC7CFF">
        <w:rPr>
          <w:lang w:val="en-GB"/>
        </w:rPr>
        <w:t xml:space="preserve">glucose tolerance in women with </w:t>
      </w:r>
      <w:r w:rsidR="00D2694A">
        <w:rPr>
          <w:lang w:val="en-GB"/>
        </w:rPr>
        <w:t>pre-existing</w:t>
      </w:r>
      <w:r w:rsidR="00D2694A" w:rsidRPr="00CC7CFF">
        <w:rPr>
          <w:lang w:val="en-GB"/>
        </w:rPr>
        <w:t xml:space="preserve"> </w:t>
      </w:r>
      <w:r w:rsidR="00CC7CFF" w:rsidRPr="00CC7CFF">
        <w:rPr>
          <w:lang w:val="en-GB"/>
        </w:rPr>
        <w:t>impaired insulin</w:t>
      </w:r>
      <w:r w:rsidR="00CC7CFF">
        <w:rPr>
          <w:lang w:val="en-GB"/>
        </w:rPr>
        <w:t xml:space="preserve"> </w:t>
      </w:r>
      <w:r w:rsidR="00CC7CFF" w:rsidRPr="00CC7CFF">
        <w:rPr>
          <w:lang w:val="en-GB"/>
        </w:rPr>
        <w:t>secretion.</w:t>
      </w:r>
      <w:r>
        <w:rPr>
          <w:lang w:val="en-GB"/>
        </w:rPr>
        <w:t xml:space="preserve"> In healthy young women however, L</w:t>
      </w:r>
      <w:r w:rsidR="00CC7CFF" w:rsidRPr="00CC7CFF">
        <w:rPr>
          <w:lang w:val="en-GB"/>
        </w:rPr>
        <w:t xml:space="preserve"> </w:t>
      </w:r>
      <w:r w:rsidR="006F3C1E">
        <w:rPr>
          <w:lang w:val="en-GB"/>
        </w:rPr>
        <w:t xml:space="preserve">does </w:t>
      </w:r>
      <w:r w:rsidR="00CC7CFF" w:rsidRPr="00CC7CFF">
        <w:rPr>
          <w:lang w:val="en-GB"/>
        </w:rPr>
        <w:t>not alter glucose metabolism</w:t>
      </w:r>
      <w:r w:rsidR="00927B17">
        <w:rPr>
          <w:lang w:val="en-GB"/>
        </w:rPr>
        <w:t xml:space="preserve"> </w:t>
      </w:r>
      <w:r w:rsidR="007A3EDC">
        <w:rPr>
          <w:lang w:val="en-GB"/>
        </w:rPr>
        <w:fldChar w:fldCharType="begin" w:fldLock="1"/>
      </w:r>
      <w:r w:rsidR="002C52CA">
        <w:rPr>
          <w:lang w:val="en-GB"/>
        </w:rPr>
        <w:instrText>ADDIN CSL_CITATION { "citationItems" : [ { "id" : "ITEM-1", "itemData" : { "ISSN" : "00778923", "PMID" : "102234", "abstract" : "Gestamimetic amounts of progesterone enhance basal and glucose-stimulated insulin production. Contraceptive doses of synthetic progestins cause a moderate increase or no change in glucose-stimulated insulin production, depending on route of administration and species tested. Estrogens potentiate the insulinotropic effects of progesterone and the synthetic progestins. Basal serum triglyceride concentrations are generally unaffected by progesterone or 17 alpha-acetoxyprogesterone treatment but may decrease during 19-nortestosterone administration. Glucose tolerance does not change during treatment with gestamimetic doses of progesterone alone but may improve in rats and monkeys during concurrent estrogen administration. By contrast, deterioration of glucose tolerance is observed in women treated concurrently with synthetic estrogen plus 19-nortestosterone derivatives and, occasionally, with 19-nortestosterone derivatives alone. No consistent changes in glucose metabolism have been observed after treatment with 17 alpha-acetoxyprogesterone derivatives alone. The cause of the species-related differences in glucose metabolism during 19-nortestosterone treatment is obscure.", "author" : [ { "dropping-particle" : "", "family" : "Beck", "given" : "P", "non-dropping-particle" : "", "parse-names" : false, "suffix" : "" } ], "container-title" : "Ann N Y Acad Sci", "id" : "ITEM-1", "issued" : { "date-parts" : [ [ "1977" ] ] }, "page" : "434-445", "title" : "Effect of progestins on glucose and lipid metabolism.", "type" : "article-journal", "volume" : "286" }, "uris" : [ "http://www.mendeley.com/documents/?uuid=9818d9ab-9909-4a99-8ebd-9dc8864b6d2e" ] }, { "id" : "ITEM-2", "itemData" : { "PMID" : "723", "author" : [ { "dropping-particle" : "", "family" : "Beck", "given" : "P", "non-dropping-particle" : "", "parse-names" : false, "suffix" : "" } ], "container-title" : "Metabolism", "id" : "ITEM-2", "issue" : "6", "issued" : { "date-parts" : [ [ "1973" ] ] }, "page" : "841-855", "title" : "Contraceptive steroids: modification of carbohydrate and lipid metabolism", "type" : "article-journal", "volume" : "22" }, "uris" : [ "http://www.mendeley.com/documents/?uuid=6ae330b3-6691-49c1-94ad-c32ede6c102f" ] } ], "mendeley" : { "formattedCitation" : "(29,30)", "plainTextFormattedCitation" : "(29,30)", "previouslyFormattedCitation" : "(29,30)" }, "properties" : { "noteIndex" : 0 }, "schema" : "https://github.com/citation-style-language/schema/raw/master/csl-citation.json" }</w:instrText>
      </w:r>
      <w:r w:rsidR="007A3EDC">
        <w:rPr>
          <w:lang w:val="en-GB"/>
        </w:rPr>
        <w:fldChar w:fldCharType="separate"/>
      </w:r>
      <w:r w:rsidR="00C7364E" w:rsidRPr="00C7364E">
        <w:rPr>
          <w:noProof/>
          <w:lang w:val="en-GB"/>
        </w:rPr>
        <w:t>(29,30)</w:t>
      </w:r>
      <w:r w:rsidR="007A3EDC">
        <w:rPr>
          <w:lang w:val="en-GB"/>
        </w:rPr>
        <w:fldChar w:fldCharType="end"/>
      </w:r>
      <w:r w:rsidR="00CC7CFF" w:rsidRPr="00CC7CFF">
        <w:rPr>
          <w:lang w:val="en-GB"/>
        </w:rPr>
        <w:t>. The induction or</w:t>
      </w:r>
      <w:r w:rsidR="00CC7CFF">
        <w:rPr>
          <w:lang w:val="en-GB"/>
        </w:rPr>
        <w:t xml:space="preserve"> </w:t>
      </w:r>
      <w:r w:rsidR="00CC7CFF" w:rsidRPr="00CC7CFF">
        <w:rPr>
          <w:lang w:val="en-GB"/>
        </w:rPr>
        <w:t>increase of acne and hirsutism by androgenic progestins</w:t>
      </w:r>
      <w:r w:rsidR="00CC7CFF">
        <w:rPr>
          <w:lang w:val="en-GB"/>
        </w:rPr>
        <w:t xml:space="preserve"> </w:t>
      </w:r>
      <w:r w:rsidR="00CC7CFF" w:rsidRPr="00CC7CFF">
        <w:rPr>
          <w:lang w:val="en-GB"/>
        </w:rPr>
        <w:t>results from reduction</w:t>
      </w:r>
      <w:r>
        <w:rPr>
          <w:lang w:val="en-GB"/>
        </w:rPr>
        <w:t>s in</w:t>
      </w:r>
      <w:r w:rsidR="00CC7CFF" w:rsidRPr="00CC7CFF">
        <w:rPr>
          <w:lang w:val="en-GB"/>
        </w:rPr>
        <w:t xml:space="preserve"> </w:t>
      </w:r>
      <w:r w:rsidR="00146659">
        <w:rPr>
          <w:lang w:val="en-GB"/>
        </w:rPr>
        <w:t>estradiol (E2)</w:t>
      </w:r>
      <w:r>
        <w:rPr>
          <w:lang w:val="en-GB"/>
        </w:rPr>
        <w:t xml:space="preserve"> </w:t>
      </w:r>
      <w:r w:rsidR="00CC7CFF" w:rsidRPr="00CC7CFF">
        <w:rPr>
          <w:lang w:val="en-GB"/>
        </w:rPr>
        <w:t>and sex hormone</w:t>
      </w:r>
      <w:r>
        <w:rPr>
          <w:lang w:val="en-GB"/>
        </w:rPr>
        <w:t>-</w:t>
      </w:r>
      <w:r w:rsidR="00CC7CFF" w:rsidRPr="00CC7CFF">
        <w:rPr>
          <w:lang w:val="en-GB"/>
        </w:rPr>
        <w:t>binding</w:t>
      </w:r>
      <w:r w:rsidR="006F3C1E">
        <w:rPr>
          <w:lang w:val="en-GB"/>
        </w:rPr>
        <w:t xml:space="preserve"> </w:t>
      </w:r>
      <w:r w:rsidR="00CC7CFF" w:rsidRPr="00CC7CFF">
        <w:rPr>
          <w:lang w:val="en-GB"/>
        </w:rPr>
        <w:t>globulin (SHBG) levels, leading to higher absolute</w:t>
      </w:r>
      <w:r w:rsidR="00CC7CFF">
        <w:rPr>
          <w:lang w:val="en-GB"/>
        </w:rPr>
        <w:t xml:space="preserve"> </w:t>
      </w:r>
      <w:r w:rsidR="00CC7CFF" w:rsidRPr="00CC7CFF">
        <w:rPr>
          <w:lang w:val="en-GB"/>
        </w:rPr>
        <w:t>and relative concentrations of endogenous androgens</w:t>
      </w:r>
      <w:r w:rsidR="00CC7CFF">
        <w:rPr>
          <w:lang w:val="en-GB"/>
        </w:rPr>
        <w:t xml:space="preserve"> </w:t>
      </w:r>
      <w:r w:rsidR="00CC7CFF" w:rsidRPr="00CC7CFF">
        <w:rPr>
          <w:lang w:val="en-GB"/>
        </w:rPr>
        <w:t xml:space="preserve">and unbound androgenic progestins </w:t>
      </w:r>
      <w:r w:rsidR="007A3EDC">
        <w:rPr>
          <w:lang w:val="en-GB"/>
        </w:rPr>
        <w:fldChar w:fldCharType="begin" w:fldLock="1"/>
      </w:r>
      <w:r w:rsidR="002C52CA">
        <w:rPr>
          <w:lang w:val="en-GB"/>
        </w:rPr>
        <w:instrText>ADDIN CSL_CITATION { "citationItems" : [ { "id" : "ITEM-1", "itemData" : { "ISSN" : "0002-9343", "PMID" : "7825629", "abstract" : "All steroid hormones are structurally similar, but relatively minor differences cause profound alterations in biochemical activity. The 21-carbon series (pregnane nucleus) includes the corticoids and the true progestins (e.g., medroxyprogesterone acetate). The 19-carbon series (androstane nucleus) includes all the androgens, among them the progestins used in most oral and parenteral contraceptives. The removal of carbon 19 from testosterone changes the major hormonal effect from androgenic to progestogenic, but these \"19-nor\" steroids retain varying degrees of androgenic activity. (They can also have limited estrogenic activity, but this is insignificant at the low doses used for contraception.) Some of the 19-nortestosterone progestins are metabolized to other compounds (e.g., norethynodrel, ethynodiol diacetate, and lynestrenol to norethindrone), and some (levonorgestrel, desogestrel) are active unchanged. The lingering androgenic effects of 19-nor progestins are dose-related, opposed by estrogen, and are manifested metabolically (e.g., glucose tolerance, lipoprotein synthesis) and symptomatically (e.g., acne, weight gain). The effect of 19-nortestosterones on lipoproteins prompted the development of less androgenic compounds, but the obvious benefit of the new progestins (desogestrel, gestodene, norgestimate) is a reduction in the symptoms associated with the androgenicity of the older compounds. Mitigation of androgenic effects on lipoprotein and carbohydrate metabolism could have long-term benefits, especially for women who are at risk of arteriosclerotic vascular disease; however, these effects remain to be epidemiologically demonstrated.\n\nThis paper reports the results of a review of current literature on progestin androgenicity and any progress made to reduce androgenicity. Structurally synthetic, steroid hormones are similar. The 19-carbon structure series includes all the androgens, including the progestins used in most oral and parenteral OC formulations. Some 19-nortestosterone progestins are metabolized to other compounds and some are active as they are. Androgenic effects of 19-nor progestins are dose-related, opposed by estrogen, and are manifested metabolically or symptomatically. Effects on lipoprotein and carbohydrate metabolism may play a role in the development of vascular disease. This has lead researchers to develop safer, less androgenic compounds characterized by fewer androgenic side effects.", "author" : [ { "dropping-particle" : "", "family" : "Darney", "given" : "P D", "non-dropping-particle" : "", "parse-names" : false, "suffix" : "" } ], "container-title" : "The American journal of medicine", "id" : "ITEM-1", "issue" : "1A", "issued" : { "date-parts" : [ [ "1995", "1", "16" ] ] }, "page" : "104S-110S", "title" : "The androgenicity of progestins.", "type" : "article-journal", "volume" : "98" }, "uris" : [ "http://www.mendeley.com/documents/?uuid=62a88d29-2f2c-47c4-8d6e-b70182750842" ] } ], "mendeley" : { "formattedCitation" : "(31)", "plainTextFormattedCitation" : "(31)", "previouslyFormattedCitation" : "(31)" }, "properties" : { "noteIndex" : 0 }, "schema" : "https://github.com/citation-style-language/schema/raw/master/csl-citation.json" }</w:instrText>
      </w:r>
      <w:r w:rsidR="007A3EDC">
        <w:rPr>
          <w:lang w:val="en-GB"/>
        </w:rPr>
        <w:fldChar w:fldCharType="separate"/>
      </w:r>
      <w:r w:rsidR="00C7364E" w:rsidRPr="00C7364E">
        <w:rPr>
          <w:noProof/>
          <w:lang w:val="en-US"/>
        </w:rPr>
        <w:t>(31)</w:t>
      </w:r>
      <w:r w:rsidR="007A3EDC">
        <w:rPr>
          <w:lang w:val="en-GB"/>
        </w:rPr>
        <w:fldChar w:fldCharType="end"/>
      </w:r>
      <w:r w:rsidR="00CC7CFF" w:rsidRPr="0081786C">
        <w:rPr>
          <w:lang w:val="en-US"/>
        </w:rPr>
        <w:t>.</w:t>
      </w:r>
    </w:p>
    <w:p w14:paraId="23064CCF" w14:textId="2A65A4C1" w:rsidR="00621ECE" w:rsidRDefault="00621ECE" w:rsidP="00621ECE">
      <w:pPr>
        <w:pStyle w:val="Kop2"/>
        <w:rPr>
          <w:lang w:val="en-GB"/>
        </w:rPr>
      </w:pPr>
      <w:bookmarkStart w:id="22" w:name="_Toc451961478"/>
      <w:r>
        <w:rPr>
          <w:lang w:val="en-GB"/>
        </w:rPr>
        <w:t>Cross-sex hormones</w:t>
      </w:r>
      <w:bookmarkEnd w:id="22"/>
    </w:p>
    <w:p w14:paraId="1BE67AEA" w14:textId="459F0B42" w:rsidR="005A368E" w:rsidRDefault="005A368E" w:rsidP="00C13BCE">
      <w:pPr>
        <w:spacing w:after="0" w:line="360" w:lineRule="auto"/>
        <w:jc w:val="both"/>
        <w:rPr>
          <w:lang w:val="en-GB"/>
        </w:rPr>
      </w:pPr>
      <w:r>
        <w:rPr>
          <w:lang w:val="en-GB"/>
        </w:rPr>
        <w:t xml:space="preserve">In line with the Endocrine Society clinical practice guideline, </w:t>
      </w:r>
      <w:r w:rsidR="009C2811">
        <w:rPr>
          <w:lang w:val="en-GB"/>
        </w:rPr>
        <w:t xml:space="preserve">CSH </w:t>
      </w:r>
      <w:r>
        <w:rPr>
          <w:lang w:val="en-GB"/>
        </w:rPr>
        <w:t xml:space="preserve">can be initiated from the age of 16 years onwards </w:t>
      </w:r>
      <w:r w:rsidR="007A3EDC">
        <w:rPr>
          <w:lang w:val="en-GB"/>
        </w:rPr>
        <w:fldChar w:fldCharType="begin" w:fldLock="1"/>
      </w:r>
      <w:r w:rsidR="00C7364E">
        <w:rPr>
          <w:lang w:val="en-GB"/>
        </w:rPr>
        <w:instrText>ADDIN CSL_CITATION { "citationItems" : [ { "id" : "ITEM-1", "itemData" : { "DOI" : "10.1210/jc.2009-0345", "ISBN" : "0021-972X", "ISSN" : "0021-972X", "PMID" : "19509099", "abstract" : "OBJECTIVE: The aim was to formulate practice guidelines for endocrine treatment of transsexual persons. EVIDENCE: This evidence-based guideline was developed using the Grading of Recommendations, Assessment, Development, and Evaluation (GRADE) system to describe the strength of recommendations and the quality of evidence, which was low or very low. CONSENSUS PROCESS: Committees and members of The Endocrine Society, European Society of Endocrinology, European Society for Paediatric Endocrinology, Lawson Wilkins Pediatric Endocrine Society, and World Professional Association for Transgender Health commented on preliminary drafts of these guidelines. CONCLUSIONS: Transsexual persons seeking to develop the physical characteristics of the desired gender require a safe, effective hormone regimen that will 1) suppress endogenous hormone secretion determined by the person's genetic/biologic sex and 2) maintain sex hormone levels within the normal range for the person's desired gender. A mental health professional (MHP) must recommend endocrine treatment and participate in ongoing care throughout the endocrine transition and decision for surgical sex reassignment. The endocrinologist must confirm the diagnostic criteria the MHP used to make these recommendations. Because a diagnosis of transsexualism in a prepubertal child cannot be made with certainty, we do not recommend endocrine treatment of prepubertal children. We recommend treating transsexual adolescents (Tanner stage 2) by suppressing puberty with GnRH analogues until age 16 years old, after which cross-sex hormones may be given. We suggest suppressing endogenous sex hormones, maintaining physiologic levels of gender-appropriate sex hormones and monitoring for known risks in adult transsexual persons.", "author" : [ { "dropping-particle" : "", "family" : "Hembree", "given" : "Wylie C.", "non-dropping-particle" : "", "parse-names" : false, "suffix" : "" }, { "dropping-particle" : "", "family" : "Cohen-Kettenis", "given" : "Peggy", "non-dropping-particle" : "", "parse-names" : false, "suffix" : "" }, { "dropping-particle" : "", "family" : "Delemarre-Van De Waal", "given" : "Henriette A.", "non-dropping-particle" : "", "parse-names" : false, "suffix" : "" }, { "dropping-particle" : "", "family" : "Gooren", "given" : "Louis J.", "non-dropping-particle" : "", "parse-names" : false, "suffix" : "" }, { "dropping-particle" : "", "family" : "Meyer", "given" : "Walter J.", "non-dropping-particle" : "", "parse-names" : false, "suffix" : "" }, { "dropping-particle" : "", "family" : "Spack", "given" : "Norman P.", "non-dropping-particle" : "", "parse-names" : false, "suffix" : "" }, { "dropping-particle" : "", "family" : "Tangpricha", "given" : "Vin", "non-dropping-particle" : "", "parse-names" : false, "suffix" : "" }, { "dropping-particle" : "", "family" : "Montori", "given" : "Victor M.", "non-dropping-particle" : "", "parse-names" : false, "suffix" : "" } ], "container-title" : "The Journal of Clinical Endocrinology &amp; Metabolism", "id" : "ITEM-1", "issue" : "9", "issued" : { "date-parts" : [ [ "2009" ] ] }, "page" : "3132-3154", "title" : "Endocrine Treatment of Transsexual Persons:An Endocrine Society Clinical Practice Guideline", "type" : "article-journal", "volume" : "94" }, "uris" : [ "http://www.mendeley.com/documents/?uuid=bc5b1f05-c32d-4690-b85f-4556414dcb0d" ] } ], "mendeley" : { "formattedCitation" : "(9)", "plainTextFormattedCitation" : "(9)", "previouslyFormattedCitation" : "(9)" }, "properties" : { "noteIndex" : 0 }, "schema" : "https://github.com/citation-style-language/schema/raw/master/csl-citation.json" }</w:instrText>
      </w:r>
      <w:r w:rsidR="007A3EDC">
        <w:rPr>
          <w:lang w:val="en-GB"/>
        </w:rPr>
        <w:fldChar w:fldCharType="separate"/>
      </w:r>
      <w:r w:rsidR="001E1DDB" w:rsidRPr="001E1DDB">
        <w:rPr>
          <w:noProof/>
          <w:lang w:val="en-GB"/>
        </w:rPr>
        <w:t>(9)</w:t>
      </w:r>
      <w:r w:rsidR="007A3EDC">
        <w:rPr>
          <w:lang w:val="en-GB"/>
        </w:rPr>
        <w:fldChar w:fldCharType="end"/>
      </w:r>
      <w:r>
        <w:rPr>
          <w:lang w:val="en-GB"/>
        </w:rPr>
        <w:t>.</w:t>
      </w:r>
      <w:r w:rsidR="006F3C1E">
        <w:rPr>
          <w:lang w:val="en-GB"/>
        </w:rPr>
        <w:t>T</w:t>
      </w:r>
      <w:r>
        <w:rPr>
          <w:lang w:val="en-GB"/>
        </w:rPr>
        <w:t xml:space="preserve">he strict use of this age criterion is a point of controversy and </w:t>
      </w:r>
      <w:r w:rsidR="006F3C1E">
        <w:rPr>
          <w:lang w:val="en-GB"/>
        </w:rPr>
        <w:t xml:space="preserve">may be abandoned </w:t>
      </w:r>
      <w:r>
        <w:rPr>
          <w:lang w:val="en-GB"/>
        </w:rPr>
        <w:t xml:space="preserve">in </w:t>
      </w:r>
      <w:r w:rsidR="006F3C1E">
        <w:rPr>
          <w:lang w:val="en-GB"/>
        </w:rPr>
        <w:t xml:space="preserve">a revised version of this guideline, </w:t>
      </w:r>
      <w:r>
        <w:rPr>
          <w:lang w:val="en-GB"/>
        </w:rPr>
        <w:t xml:space="preserve">which is currently under preparation. </w:t>
      </w:r>
    </w:p>
    <w:p w14:paraId="402090D9" w14:textId="4B2A2E4E" w:rsidR="00674BAD" w:rsidRDefault="00674BAD" w:rsidP="00674BAD">
      <w:pPr>
        <w:pStyle w:val="Kop3"/>
        <w:rPr>
          <w:lang w:val="en-GB"/>
        </w:rPr>
      </w:pPr>
      <w:bookmarkStart w:id="23" w:name="_Toc451961479"/>
      <w:r>
        <w:rPr>
          <w:lang w:val="en-GB"/>
        </w:rPr>
        <w:t>Estrogens</w:t>
      </w:r>
      <w:bookmarkEnd w:id="23"/>
    </w:p>
    <w:p w14:paraId="74062C23" w14:textId="65E3AC12" w:rsidR="005A368E" w:rsidRDefault="005A368E" w:rsidP="001272E6">
      <w:pPr>
        <w:spacing w:after="0" w:line="360" w:lineRule="auto"/>
        <w:jc w:val="both"/>
        <w:rPr>
          <w:lang w:val="en-GB"/>
        </w:rPr>
      </w:pPr>
      <w:r>
        <w:rPr>
          <w:lang w:val="en-GB"/>
        </w:rPr>
        <w:t>Although treatment with estrogens</w:t>
      </w:r>
      <w:r w:rsidR="0074532D">
        <w:rPr>
          <w:lang w:val="en-GB"/>
        </w:rPr>
        <w:t xml:space="preserve"> in MtF trans</w:t>
      </w:r>
      <w:r w:rsidR="00493539">
        <w:rPr>
          <w:lang w:val="en-GB"/>
        </w:rPr>
        <w:t>gender</w:t>
      </w:r>
      <w:r w:rsidR="00D431C7">
        <w:rPr>
          <w:lang w:val="en-GB"/>
        </w:rPr>
        <w:t xml:space="preserve"> individuals</w:t>
      </w:r>
      <w:r>
        <w:rPr>
          <w:lang w:val="en-GB"/>
        </w:rPr>
        <w:t xml:space="preserve"> can decrease the production of androgens, combination with CA is more effective in reducing endogenous androgen levels </w:t>
      </w:r>
      <w:r w:rsidR="007A3EDC">
        <w:rPr>
          <w:lang w:val="en-GB"/>
        </w:rPr>
        <w:fldChar w:fldCharType="begin" w:fldLock="1"/>
      </w:r>
      <w:r w:rsidR="002C52CA">
        <w:rPr>
          <w:lang w:val="en-GB"/>
        </w:rPr>
        <w:instrText>ADDIN CSL_CITATION { "citationItems" : [ { "id" : "ITEM-1", "itemData" : { "DOI" : "10.1159/000087751", "ISBN" : "0301-0163", "ISSN" : "03010163", "PMID" : "16286768", "abstract" : "Hormonal reassignment has two aims: (1) to reduce the hormonally induced secondary sex characteristics of the original sex and (2) to induce the secondary sex characteristics of the new sex. In Europe, cyproterone acetate is generally used to inhibit androgens in male-to-female transsexuals. Medroxyprogesterone acetate is an acceptable, though less effective, alternative. To induce feminization there is a wide range of oestrogens. Oral ethinyloestradiol is a potent and inexpensive oestrogen, but it may cause venous thrombosis. Oral 17beta-oestradiol valerate or transdermal 17beta-oestradiol is the treatment of choice. The goal of treatment in female-to-male transsexuals is to induce virilization, including a male pattern of sexual hair, a male voice and male physical contours, and to stop menses. The principal hormonal treatment is a testosterone preparation. Hormone-dependent tumours have been encountered and surveillance is necessary.", "author" : [ { "dropping-particle" : "", "family" : "Gooren", "given" : "Louis", "non-dropping-particle" : "", "parse-names" : false, "suffix" : "" } ], "container-title" : "Hormone Research", "id" : "ITEM-1", "issue" : "SUPPL. 2", "issued" : { "date-parts" : [ [ "2005" ] ] }, "page" : "31-36", "title" : "Hormone treatment of the adult transsexual patient", "type" : "article-journal", "volume" : "64" }, "uris" : [ "http://www.mendeley.com/documents/?uuid=2e294cf0-0143-417d-91d1-85e9959317a4" ] } ], "mendeley" : { "formattedCitation" : "(32)", "plainTextFormattedCitation" : "(32)", "previouslyFormattedCitation" : "(32)" }, "properties" : { "noteIndex" : 0 }, "schema" : "https://github.com/citation-style-language/schema/raw/master/csl-citation.json" }</w:instrText>
      </w:r>
      <w:r w:rsidR="007A3EDC">
        <w:rPr>
          <w:lang w:val="en-GB"/>
        </w:rPr>
        <w:fldChar w:fldCharType="separate"/>
      </w:r>
      <w:r w:rsidR="00C7364E" w:rsidRPr="00C7364E">
        <w:rPr>
          <w:noProof/>
          <w:lang w:val="en-GB"/>
        </w:rPr>
        <w:t>(32)</w:t>
      </w:r>
      <w:r w:rsidR="007A3EDC">
        <w:rPr>
          <w:lang w:val="en-GB"/>
        </w:rPr>
        <w:fldChar w:fldCharType="end"/>
      </w:r>
      <w:r>
        <w:rPr>
          <w:lang w:val="en-GB"/>
        </w:rPr>
        <w:t xml:space="preserve">. A major concern in treatment with estrogens and especially ethinyl estradiol (EE) is the increased incidence of venous thrombosis </w:t>
      </w:r>
      <w:r w:rsidR="007A3EDC">
        <w:rPr>
          <w:lang w:val="en-GB"/>
        </w:rPr>
        <w:fldChar w:fldCharType="begin" w:fldLock="1"/>
      </w:r>
      <w:r w:rsidR="002C52CA">
        <w:rPr>
          <w:lang w:val="en-GB"/>
        </w:rPr>
        <w:instrText>ADDIN CSL_CITATION { "citationItems" : [ { "id" : "ITEM-1", "itemData" : { "DOI" : "10.1111/and.12150", "ISBN" : "1439-0272 (Electronic)\\r0303-4569 (Linking)", "ISSN" : "1439-0272", "PMID" : "23944849", "abstract" : "Administration of cross-sex hormones to male-to-female transsexual subjects, usually oestrogens\u00a0+\u00a0often anti-androgens, such as cyproterone acetate, carries a risk of venous thromboembolism (VTE). VTE usually occurs in the first year of oestrogen administration. Ethinyl oestradiol, due to its chemical structure, was in 2003 identified as a major factor in the occurrence of VTE. Most clinics do not prescribe ethinyl oestradiol any longer, but people who take hormones without medical supervision use often oral contraceptives containing ethinyl oestradiol, many times in overdose. Cessation of use of ethinyl oestradiol and peri-operative thrombosis prophylaxis for surgery have reduced prevalence rate of VTE. Other oral oestrogens should not be overdosed, and transdermal oestrogen is to be preferred. Thrombosis prophylaxis for surgery is mandatory. It seems advisable to stop hormone use at least 2\u00a0weeks before major surgery, to be resumed only after 3\u00a0weeks following full mobilisation.", "author" : [ { "dropping-particle" : "", "family" : "Asscheman", "given" : "H", "non-dropping-particle" : "", "parse-names" : false, "suffix" : "" }, { "dropping-particle" : "", "family" : "T'sjoen", "given" : "G", "non-dropping-particle" : "", "parse-names" : false, "suffix" : "" }, { "dropping-particle" : "", "family" : "Lemaire", "given" : "a", "non-dropping-particle" : "", "parse-names" : false, "suffix" : "" }, { "dropping-particle" : "", "family" : "Mas", "given" : "M", "non-dropping-particle" : "", "parse-names" : false, "suffix" : "" }, { "dropping-particle" : "", "family" : "Meriggiola", "given" : "M C", "non-dropping-particle" : "", "parse-names" : false, "suffix" : "" }, { "dropping-particle" : "", "family" : "Mueller", "given" : "a", "non-dropping-particle" : "", "parse-names" : false, "suffix" : "" }, { "dropping-particle" : "", "family" : "Kuhn", "given" : "a", "non-dropping-particle" : "", "parse-names" : false, "suffix" : "" }, { "dropping-particle" : "", "family" : "Dhejne", "given" : "C", "non-dropping-particle" : "", "parse-names" : false, "suffix" : "" }, { "dropping-particle" : "", "family" : "Morel-Journel", "given" : "N", "non-dropping-particle" : "", "parse-names" : false, "suffix" : "" }, { "dropping-particle" : "", "family" : "Gooren", "given" : "L J", "non-dropping-particle" : "", "parse-names" : false, "suffix" : "" } ], "container-title" : "Andrologia", "id" : "ITEM-1", "issued" : { "date-parts" : [ [ "2013" ] ] }, "page" : "1-5", "title" : "Venous thrombo-embolism as a complication of cross-sex hormone treatment of male-to-female transsexual subjects: a review.", "type" : "article-journal" }, "uris" : [ "http://www.mendeley.com/documents/?uuid=4ef1631a-ed34-43ff-8a6f-26f6431ee0b2" ] }, { "id" : "ITEM-2", "itemData" : { "ISSN" : "0002-9378", "PMID" : "6789679", "author" : [ { "dropping-particle" : "", "family" : "HC", "given" : "Kim", "non-dropping-particle" : "", "parse-names" : false, "suffix" : "" }, { "dropping-particle" : "", "family" : "E", "given" : "Kemmann", "non-dropping-particle" : "", "parse-names" : false, "suffix" : "" }, { "dropping-particle" : "", "family" : "RM", "given" : "Shelden", "non-dropping-particle" : "", "parse-names" : false, "suffix" : "" }, { "dropping-particle" : "", "family" : "P", "given" : "Saidi", "non-dropping-particle" : "", "parse-names" : false, "suffix" : "" } ], "container-title" : "American journal of obstetrics and gynecology", "id" : "ITEM-2", "issue" : "7", "issued" : { "date-parts" : [ [ "0" ] ] }, "language" : "eng", "page" : "807-810", "title" : "Response of blood coagulation parameters to elevated endogenous 17 beta-estradiol levels induced by human menopausal gonadotropins.", "type" : "article-journal", "volume" : "140" }, "uris" : [ "http://www.mendeley.com/documents/?uuid=d086e1f8-8030-4164-b714-b602570fa343" ] } ], "mendeley" : { "formattedCitation" : "(33,34)", "plainTextFormattedCitation" : "(33,34)", "previouslyFormattedCitation" : "(33,34)" }, "properties" : { "noteIndex" : 0 }, "schema" : "https://github.com/citation-style-language/schema/raw/master/csl-citation.json" }</w:instrText>
      </w:r>
      <w:r w:rsidR="007A3EDC">
        <w:rPr>
          <w:lang w:val="en-GB"/>
        </w:rPr>
        <w:fldChar w:fldCharType="separate"/>
      </w:r>
      <w:r w:rsidR="00C7364E" w:rsidRPr="00C7364E">
        <w:rPr>
          <w:noProof/>
          <w:lang w:val="en-GB"/>
        </w:rPr>
        <w:t>(33,34)</w:t>
      </w:r>
      <w:r w:rsidR="007A3EDC">
        <w:rPr>
          <w:lang w:val="en-GB"/>
        </w:rPr>
        <w:fldChar w:fldCharType="end"/>
      </w:r>
      <w:r>
        <w:rPr>
          <w:lang w:val="en-GB"/>
        </w:rPr>
        <w:t xml:space="preserve">. 17β-estradiol (E) has been proven </w:t>
      </w:r>
      <w:r w:rsidR="00674BAD">
        <w:rPr>
          <w:lang w:val="en-GB"/>
        </w:rPr>
        <w:t xml:space="preserve">to be </w:t>
      </w:r>
      <w:r>
        <w:rPr>
          <w:lang w:val="en-GB"/>
        </w:rPr>
        <w:t xml:space="preserve">less thrombogenic and is therefore preferred over EE </w:t>
      </w:r>
      <w:r w:rsidR="007A3EDC">
        <w:rPr>
          <w:lang w:val="en-GB"/>
        </w:rPr>
        <w:fldChar w:fldCharType="begin" w:fldLock="1"/>
      </w:r>
      <w:r w:rsidR="002C52CA">
        <w:rPr>
          <w:lang w:val="en-GB"/>
        </w:rPr>
        <w:instrText>ADDIN CSL_CITATION { "citationItems" : [ { "id" : "ITEM-1", "itemData" : { "DOI" : "10.1530/EJE-14-0011", "ISSN" : "0804-4643", "author" : [ { "dropping-particle" : "", "family" : "Gooren", "given" : "L. J.", "non-dropping-particle" : "", "parse-names" : false, "suffix" : "" }, { "dropping-particle" : "", "family" : "Wierckx", "given" : "K.", "non-dropping-particle" : "", "parse-names" : false, "suffix" : "" }, { "dropping-particle" : "", "family" : "Giltay", "given" : "E. J.", "non-dropping-particle" : "", "parse-names" : false, "suffix" : "" } ], "container-title" : "European Journal of Endocrinology", "id" : "ITEM-1", "issue" : "6", "issued" : { "date-parts" : [ [ "2014" ] ] }, "page" : "809-819", "title" : "Cardiovascular disease in transsexual persons treated with cross-sex hormones: reversal of the traditional sex difference in cardiovascular disease pattern", "type" : "article-journal", "volume" : "170" }, "uris" : [ "http://www.mendeley.com/documents/?uuid=7e2621a7-7ff0-4898-aecd-556073e310a4" ] }, { "id" : "ITEM-2", "itemData" : { "DOI" : "10.1210/jc.2003-030520", "ISBN" : "0021-972X (Print)\\r0021-972X (Linking)", "ISSN" : "0021-972X", "PMID" : "14671159", "abstract" : "The incidence of venous thrombosis associated with estrogen treatment in male-to-female (M--&gt;F) transsexuals is considerably higher with administration of oral ethinyl estradiol (EE) than with transdermal (td) 17-beta-estradiol (E(2)). To find an explanation for the different thrombotic risks of oral EE and td E(2) use, we compared the effects of treatment of M--&gt;F transsexuals with cyproterone acetate (CPA) only, and with CPA in combination with td E(2), oral EE, or oral E(2) on a number of hemostatic variables [activated protein C (APC) resistance and plasma levels of protein S, protein C, and prothombin], all of which are documented risk factors for venous thrombosis. APC resistance was determined by quantification of the effect of APC on the amount of thrombin generated during tissue factor-initiated coagulation; plasma levels of total and free protein S were determined by standard ELISA; and levels of prothrombin and protein C were determined with functional assays after complete activation of the zymogens with specific snake venom proteases. CPA-only, td-E(2)+CPA, or oral-E(2)+CPA treatment produced rather small effects on hemostatic variables, whereas oral EE treatment resulted in a large increase in APC resistance from 1.2 +/- 0.8 to 4.1 +/- 1 (P &lt; 0.001), a moderate increase in plasma protein C (9%; P = 0.012), and a large decrease in both total and free plasma protein S (30%; P &lt; 0.005). The large differential effect of oral EE and oral E(2) indicates that the prothrombotic effect of EE is due to its molecular structure rather than to a first-pass liver effect (which they share). Moreover, these differences may explain why M--&gt;F transsexuals treated with oral EE are exposed to a higher thrombotic risk than transsexuals treated with td E(2). Testosterone administration to female-to-male transsexuals had an antithrombotic effect.", "author" : [ { "dropping-particle" : "", "family" : "Toorians", "given" : "a W F T", "non-dropping-particle" : "", "parse-names" : false, "suffix" : "" }, { "dropping-particle" : "", "family" : "Thomassen", "given" : "M C L G D", "non-dropping-particle" : "", "parse-names" : false, "suffix" : "" }, { "dropping-particle" : "", "family" : "Zweegman", "given" : "S", "non-dropping-particle" : "", "parse-names" : false, "suffix" : "" }, { "dropping-particle" : "", "family" : "Magdeleyns", "given" : "E J P", "non-dropping-particle" : "", "parse-names" : false, "suffix" : "" }, { "dropping-particle" : "", "family" : "Tans", "given" : "G", "non-dropping-particle" : "", "parse-names" : false, "suffix" : "" }, { "dropping-particle" : "", "family" : "Gooren", "given" : "L J G", "non-dropping-particle" : "", "parse-names" : false, "suffix" : "" }, { "dropping-particle" : "", "family" : "Rosing", "given" : "J", "non-dropping-particle" : "", "parse-names" : false, "suffix" : "" } ], "container-title" : "The Journal of clinical endocrinology and metabolism", "id" : "ITEM-2", "issue" : "12", "issued" : { "date-parts" : [ [ "2003" ] ] }, "page" : "5723-9", "title" : "Venous thrombosis and changes of hemostatic variables during cross-sex hormone treatment in transsexual people.", "type" : "article-journal", "volume" : "88" }, "uris" : [ "http://www.mendeley.com/documents/?uuid=66543949-0eda-4832-abc3-a36b62d5962e" ] } ], "mendeley" : { "formattedCitation" : "(35,36)", "plainTextFormattedCitation" : "(35,36)", "previouslyFormattedCitation" : "(35,36)" }, "properties" : { "noteIndex" : 0 }, "schema" : "https://github.com/citation-style-language/schema/raw/master/csl-citation.json" }</w:instrText>
      </w:r>
      <w:r w:rsidR="007A3EDC">
        <w:rPr>
          <w:lang w:val="en-GB"/>
        </w:rPr>
        <w:fldChar w:fldCharType="separate"/>
      </w:r>
      <w:r w:rsidR="00C7364E" w:rsidRPr="00C7364E">
        <w:rPr>
          <w:noProof/>
          <w:lang w:val="en-GB"/>
        </w:rPr>
        <w:t>(35,36)</w:t>
      </w:r>
      <w:r w:rsidR="007A3EDC">
        <w:rPr>
          <w:lang w:val="en-GB"/>
        </w:rPr>
        <w:fldChar w:fldCharType="end"/>
      </w:r>
      <w:r>
        <w:rPr>
          <w:lang w:val="en-GB"/>
        </w:rPr>
        <w:t xml:space="preserve">. A frequent request of MtF </w:t>
      </w:r>
      <w:r w:rsidR="00D431C7">
        <w:rPr>
          <w:lang w:val="en-GB"/>
        </w:rPr>
        <w:t>trans</w:t>
      </w:r>
      <w:r w:rsidR="00493539">
        <w:rPr>
          <w:lang w:val="en-GB"/>
        </w:rPr>
        <w:t>gender</w:t>
      </w:r>
      <w:r w:rsidR="00D431C7">
        <w:rPr>
          <w:lang w:val="en-GB"/>
        </w:rPr>
        <w:t xml:space="preserve"> </w:t>
      </w:r>
      <w:r>
        <w:rPr>
          <w:lang w:val="en-GB"/>
        </w:rPr>
        <w:t xml:space="preserve">adolescents is to have </w:t>
      </w:r>
      <w:r w:rsidR="00415821">
        <w:rPr>
          <w:lang w:val="en-GB"/>
        </w:rPr>
        <w:t>female</w:t>
      </w:r>
      <w:r>
        <w:rPr>
          <w:lang w:val="en-GB"/>
        </w:rPr>
        <w:t xml:space="preserve"> breast development. To date, little evidence exist</w:t>
      </w:r>
      <w:r w:rsidR="00FF40D5">
        <w:rPr>
          <w:lang w:val="en-GB"/>
        </w:rPr>
        <w:t>s</w:t>
      </w:r>
      <w:r>
        <w:rPr>
          <w:lang w:val="en-GB"/>
        </w:rPr>
        <w:t xml:space="preserve"> on the effect of estrogens on breast development, however in adult MtF, the effect </w:t>
      </w:r>
      <w:r w:rsidR="00FF40D5">
        <w:rPr>
          <w:lang w:val="en-GB"/>
        </w:rPr>
        <w:t>is expected to be</w:t>
      </w:r>
      <w:r>
        <w:rPr>
          <w:lang w:val="en-GB"/>
        </w:rPr>
        <w:t xml:space="preserve"> rather moderate and possibly more pronounced when treatment is initiated at younger age </w:t>
      </w:r>
      <w:r w:rsidR="007A3EDC">
        <w:rPr>
          <w:lang w:val="en-GB"/>
        </w:rPr>
        <w:fldChar w:fldCharType="begin" w:fldLock="1"/>
      </w:r>
      <w:r w:rsidR="002C52CA">
        <w:rPr>
          <w:lang w:val="en-GB"/>
        </w:rPr>
        <w:instrText>ADDIN CSL_CITATION { "citationItems" : [ { "id" : "ITEM-1", "itemData" : { "DOI" : "10.1111/jsm.12487", "ISSN" : "1743-6109", "PMID" : "24618412", "abstract" : "Introduction. In trans women (male-to-female transsexual persons), cross-sex hormone therapy is administered to induce feminization. Breast development is an important part of feminization for most trans women., Aim. The aim of this study is to assess the effect of cross-sex hormone therapy on breast development in adult trans women. Additionally, we aimed to investigate the benefit or harm of administration of progestogens on breast development., Methods. A review of the literature in Embase, Medline, The Cochrane Library, PsycINFO databases, PubMed, and Web of Knowledge until January 2014., Main Outcome Measures. Effects of cross-sex hormone therapy and progestogens on breast development in trans women., Results. Only few studies with low quality of evidence addressed these topics. The available evidence suggests that breast development is insufficient for the majority of trans women and that type and dosage of hormonal therapy seem not to have an important role on final breast size., Conclusions. Our knowledge concerning the natural history and effects of different cross-sex hormone therapies on breast development in trans women is extremely sparse and based on low quality of evidence. Current evidence does not provide evidence that progestogens enhance breast development in trans women. Neither do they prove the absence of such an effect. This prevents us from drawing any firm conclusion at this moment and demonstrates the need for further research to clarify these important clinical questions. Wierckx K, Gooren L, and T'Sjoen G. Clinical review: Breast development in trans women receiving cross-sex hormones. J Sex Med 2014;11:1240-1247., (C) 2014 John Wiley &amp; Sons, Ltd", "author" : [ { "dropping-particle" : "", "family" : "Wierckx", "given" : "Katrien M D", "non-dropping-particle" : "", "parse-names" : false, "suffix" : "" }, { "dropping-particle" : "", "family" : "Gooren", "given" : "Louis M D PhD", "non-dropping-particle" : "", "parse-names" : false, "suffix" : "" }, { "dropping-particle" : "", "family" : "T'Sjoen", "given" : "Guy M D PhD", "non-dropping-particle" : "", "parse-names" : false, "suffix" : "" } ], "container-title" : "Journal of Sexual Medicine May", "id" : "ITEM-1", "issued" : { "date-parts" : [ [ "2014" ] ] }, "page" : "1240-1247", "title" : "Clinical Review: Breast Development in Trans Women Receiving Cross-Sex Hormones. [Article]", "type" : "article-journal", "volume" : "11" }, "uris" : [ "http://www.mendeley.com/documents/?uuid=0f4ff112-08fc-4353-8482-fd7aeb1b0040" ] } ], "mendeley" : { "formattedCitation" : "(37)", "plainTextFormattedCitation" : "(37)", "previouslyFormattedCitation" : "(37)" }, "properties" : { "noteIndex" : 0 }, "schema" : "https://github.com/citation-style-language/schema/raw/master/csl-citation.json" }</w:instrText>
      </w:r>
      <w:r w:rsidR="007A3EDC">
        <w:rPr>
          <w:lang w:val="en-GB"/>
        </w:rPr>
        <w:fldChar w:fldCharType="separate"/>
      </w:r>
      <w:r w:rsidR="00C7364E" w:rsidRPr="00C7364E">
        <w:rPr>
          <w:noProof/>
          <w:lang w:val="en-GB"/>
        </w:rPr>
        <w:t>(37)</w:t>
      </w:r>
      <w:r w:rsidR="007A3EDC">
        <w:rPr>
          <w:lang w:val="en-GB"/>
        </w:rPr>
        <w:fldChar w:fldCharType="end"/>
      </w:r>
      <w:r>
        <w:rPr>
          <w:lang w:val="en-GB"/>
        </w:rPr>
        <w:t xml:space="preserve">. </w:t>
      </w:r>
      <w:r w:rsidR="00AB3F41">
        <w:rPr>
          <w:lang w:val="en-GB"/>
        </w:rPr>
        <w:t>I</w:t>
      </w:r>
      <w:r>
        <w:rPr>
          <w:lang w:val="en-GB"/>
        </w:rPr>
        <w:t>nitiation of CSH has</w:t>
      </w:r>
      <w:r w:rsidR="00AB3F41">
        <w:rPr>
          <w:lang w:val="en-GB"/>
        </w:rPr>
        <w:t xml:space="preserve"> also</w:t>
      </w:r>
      <w:r>
        <w:rPr>
          <w:lang w:val="en-GB"/>
        </w:rPr>
        <w:t xml:space="preserve"> been reported to increase bone density and </w:t>
      </w:r>
      <w:r w:rsidR="00FF40D5">
        <w:rPr>
          <w:lang w:val="en-GB"/>
        </w:rPr>
        <w:t xml:space="preserve">to </w:t>
      </w:r>
      <w:r>
        <w:rPr>
          <w:lang w:val="en-GB"/>
        </w:rPr>
        <w:t xml:space="preserve">impact </w:t>
      </w:r>
      <w:r w:rsidR="00CB277B">
        <w:rPr>
          <w:lang w:val="en-GB"/>
        </w:rPr>
        <w:t xml:space="preserve">on </w:t>
      </w:r>
      <w:r>
        <w:rPr>
          <w:lang w:val="en-GB"/>
        </w:rPr>
        <w:t xml:space="preserve">body composition, causing a more female fat distribution and decreasing muscle mass </w:t>
      </w:r>
      <w:r w:rsidR="007A3EDC">
        <w:rPr>
          <w:lang w:val="en-GB"/>
        </w:rPr>
        <w:fldChar w:fldCharType="begin" w:fldLock="1"/>
      </w:r>
      <w:r w:rsidR="002C52CA">
        <w:rPr>
          <w:lang w:val="en-GB"/>
        </w:rPr>
        <w:instrText>ADDIN CSL_CITATION { "citationItems" : [ { "id" : "ITEM-1", "itemData" : { "DOI" : "10.1007/s00198-014-2805-3", "ISBN" : "0937-941x", "ISSN" : "1433-2965", "PMID" : "25377496", "abstract" : "UNLABELLED: Although trans women before the start of hormonal therapy have a less bone and muscle mass compared with control men, their bone mass and geometry are preserved during the first 2\u00a0years of hormonal therapy, despite of substantial muscle loss, illustrating the major role of estrogen in the male skeleton.\\n\\nPURPOSE: The aim of this study is to examine the evolution of areal and volumetric bone density, geometry, and turnover in trans women undergoing sex steroid changes, during the first 2\u00a0years of hormonal therapy.\\n\\nMETHODS: In a prospective observational study, we examined 49 trans women (male-to-female) before and after 1 and 2\u00a0years of cross-sex hormonal therapy (CSH) in comparison with 49 age-matched control men measuring grip strength (hand dynamometer), areal bone mineral density (aBMD), and total body fat and lean mass using dual X-ray absorptiometry (DXA), bone geometry and volumetric bone mineral density, regional fat, and muscle area at the forearm and calf using peripheral quantitative computed tomography. Standardized treatment regimens were used with oral estradiol valerate, 4\u00a0mg daily (or transdermal 17-\u03b2 estradiol 100\u00a0\u03bcg/24\u00a0h for patients &gt;45\u00a0years old), both combined with oral cyproterone acetate 50\u00a0mg daily.\\n\\nRESULTS: Prior to CSH, trans women had lower aBMD at all measured sites (all p\u2009&lt;\u20090.001), smaller cortical bone size (all p\u2009&lt;\u20090.05), and lower muscle mass and strength and lean body mass (all p\u2009&lt;\u20090.05) compared with control men. During CSH, muscle mass and strength decreased and all measures of fat mass increased (all p\u2009&lt;\u20090.001). The aBMD increased at the femoral neck, radius, lumbar spine, and total body; cortical and trabecular bone remained stable and bone turnover markers decreased (all p\u2009&lt;\u20090.05).\\n\\nCONCLUSIONS: Although trans women, before CSH, have a lower aBMD and cortical bone size compared with control men, their skeletal status is well preserved during CSH treatment, despite of substantial muscle loss.", "author" : [ { "dropping-particle" : "", "family" : "Caenegem", "given" : "E", "non-dropping-particle" : "Van", "parse-names" : false, "suffix" : "" }, { "dropping-particle" : "", "family" : "Wierckx", "given" : "K", "non-dropping-particle" : "", "parse-names" : false, "suffix" : "" }, { "dropping-particle" : "", "family" : "Taes", "given" : "Y", "non-dropping-particle" : "", "parse-names" : false, "suffix" : "" }, { "dropping-particle" : "", "family" : "Schreiner", "given" : "T", "non-dropping-particle" : "", "parse-names" : false, "suffix" : "" }, { "dropping-particle" : "", "family" : "Vandewalle", "given" : "S", "non-dropping-particle" : "", "parse-names" : false, "suffix" : "" }, { "dropping-particle" : "", "family" : "Toye", "given" : "K", "non-dropping-particle" : "", "parse-names" : false, "suffix" : "" }, { "dropping-particle" : "", "family" : "Kaufman", "given" : "J-M", "non-dropping-particle" : "", "parse-names" : false, "suffix" : "" }, { "dropping-particle" : "", "family" : "T'Sjoen", "given" : "G", "non-dropping-particle" : "", "parse-names" : false, "suffix" : "" } ], "container-title" : "Osteoporosis international : a journal established as result of cooperation between the European Foundation for Osteoporosis and the National Osteoporosis Foundation of the USA", "id" : "ITEM-1", "issue" : "1", "issued" : { "date-parts" : [ [ "2015" ] ] }, "page" : "35-47", "title" : "Preservation of volumetric bone density and geometry in trans women during cross-sex hormonal therapy: a prospective observational study.", "type" : "article-journal", "volume" : "26" }, "uris" : [ "http://www.mendeley.com/documents/?uuid=189a272a-d554-40da-a1a6-d2c8c7918c3b" ] }, { "id" : "ITEM-2", "itemData" : { "DOI" : "10.1111/jsm.12571", "ISSN" : "17436095", "author" : [ { "dropping-particle" : "", "family" : "Wierckx", "given" : "Katrien", "non-dropping-particle" : "", "parse-names" : false, "suffix" : "" }, { "dropping-particle" : "", "family" : "Caenegem", "given" : "Eva", "non-dropping-particle" : "Van", "parse-names" : false, "suffix" : "" }, { "dropping-particle" : "", "family" : "Schreiner", "given" : "Thomas", "non-dropping-particle" : "", "parse-names" : false, "suffix" : "" }, { "dropping-particle" : "", "family" : "Haraldsen", "given" : "Ira", "non-dropping-particle" : "", "parse-names" : false, "suffix" : "" }, { "dropping-particle" : "", "family" : "Fisher", "given" : "Alessandra", "non-dropping-particle" : "", "parse-names" : false, "suffix" : "" }, { "dropping-particle" : "", "family" : "Toye", "given" : "Kaatje", "non-dropping-particle" : "", "parse-names" : false, "suffix" : "" }, { "dropping-particle" : "", "family" : "Kaufman", "given" : "Jean Marc", "non-dropping-particle" : "", "parse-names" : false, "suffix" : "" }, { "dropping-particle" : "", "family" : "T'Sjoen", "given" : "Guy", "non-dropping-particle" : "", "parse-names" : false, "suffix" : "" } ], "container-title" : "The Journal of Sexual Medicine", "id" : "ITEM-2", "issued" : { "date-parts" : [ [ "2014" ] ] }, "page" : "1999-2011", "title" : "Cross-Sex Hormone Therapy in Trans Persons Is Safe and Effective at Short-Time Follow-Up: Results from the European Network for the Investigation of Gender Incongruence", "type" : "article-journal", "volume" : "11" }, "uris" : [ "http://www.mendeley.com/documents/?uuid=ed3a7a4a-3e69-4e5a-b892-b9eca8c4e3e8" ] } ], "mendeley" : { "formattedCitation" : "(18,38)", "plainTextFormattedCitation" : "(18,38)", "previouslyFormattedCitation" : "(18,38)" }, "properties" : { "noteIndex" : 0 }, "schema" : "https://github.com/citation-style-language/schema/raw/master/csl-citation.json" }</w:instrText>
      </w:r>
      <w:r w:rsidR="007A3EDC">
        <w:rPr>
          <w:lang w:val="en-GB"/>
        </w:rPr>
        <w:fldChar w:fldCharType="separate"/>
      </w:r>
      <w:r w:rsidR="00C7364E" w:rsidRPr="00C7364E">
        <w:rPr>
          <w:noProof/>
          <w:lang w:val="en-GB"/>
        </w:rPr>
        <w:t>(18,38)</w:t>
      </w:r>
      <w:r w:rsidR="007A3EDC">
        <w:rPr>
          <w:lang w:val="en-GB"/>
        </w:rPr>
        <w:fldChar w:fldCharType="end"/>
      </w:r>
      <w:r>
        <w:rPr>
          <w:lang w:val="en-GB"/>
        </w:rPr>
        <w:t xml:space="preserve">. </w:t>
      </w:r>
    </w:p>
    <w:p w14:paraId="2BD81F58" w14:textId="5267F922" w:rsidR="005A368E" w:rsidRDefault="00CB277B" w:rsidP="001272E6">
      <w:pPr>
        <w:spacing w:after="0" w:line="360" w:lineRule="auto"/>
        <w:jc w:val="both"/>
        <w:rPr>
          <w:lang w:val="en-GB"/>
        </w:rPr>
      </w:pPr>
      <w:r>
        <w:rPr>
          <w:lang w:val="en-GB"/>
        </w:rPr>
        <w:t xml:space="preserve">Benign and malignant hormone-dependent </w:t>
      </w:r>
      <w:r w:rsidR="005A368E">
        <w:rPr>
          <w:lang w:val="en-GB"/>
        </w:rPr>
        <w:t>tumors</w:t>
      </w:r>
      <w:r>
        <w:rPr>
          <w:lang w:val="en-GB"/>
        </w:rPr>
        <w:t xml:space="preserve"> have been reported in a few cases of </w:t>
      </w:r>
      <w:r w:rsidR="005A368E">
        <w:rPr>
          <w:lang w:val="en-GB"/>
        </w:rPr>
        <w:t>MtF transgender</w:t>
      </w:r>
      <w:r>
        <w:rPr>
          <w:lang w:val="en-GB"/>
        </w:rPr>
        <w:t xml:space="preserve"> individuals</w:t>
      </w:r>
      <w:r w:rsidR="005A368E">
        <w:rPr>
          <w:lang w:val="en-GB"/>
        </w:rPr>
        <w:t xml:space="preserve"> </w:t>
      </w:r>
      <w:r w:rsidR="007A3EDC">
        <w:rPr>
          <w:lang w:val="en-GB"/>
        </w:rPr>
        <w:fldChar w:fldCharType="begin" w:fldLock="1"/>
      </w:r>
      <w:r w:rsidR="002C52CA">
        <w:rPr>
          <w:lang w:val="en-GB"/>
        </w:rPr>
        <w:instrText>ADDIN CSL_CITATION { "citationItems" : [ { "id" : "ITEM-1", "itemData" : { "DOI" : "10.1159/000087751", "ISBN" : "0301-0163", "ISSN" : "03010163", "PMID" : "16286768", "abstract" : "Hormonal reassignment has two aims: (1) to reduce the hormonally induced secondary sex characteristics of the original sex and (2) to induce the secondary sex characteristics of the new sex. In Europe, cyproterone acetate is generally used to inhibit androgens in male-to-female transsexuals. Medroxyprogesterone acetate is an acceptable, though less effective, alternative. To induce feminization there is a wide range of oestrogens. Oral ethinyloestradiol is a potent and inexpensive oestrogen, but it may cause venous thrombosis. Oral 17beta-oestradiol valerate or transdermal 17beta-oestradiol is the treatment of choice. The goal of treatment in female-to-male transsexuals is to induce virilization, including a male pattern of sexual hair, a male voice and male physical contours, and to stop menses. The principal hormonal treatment is a testosterone preparation. Hormone-dependent tumours have been encountered and surveillance is necessary.", "author" : [ { "dropping-particle" : "", "family" : "Gooren", "given" : "Louis", "non-dropping-particle" : "", "parse-names" : false, "suffix" : "" } ], "container-title" : "Hormone Research", "id" : "ITEM-1", "issue" : "SUPPL. 2", "issued" : { "date-parts" : [ [ "2005" ] ] }, "page" : "31-36", "title" : "Hormone treatment of the adult transsexual patient", "type" : "article-journal", "volume" : "64" }, "uris" : [ "http://www.mendeley.com/documents/?uuid=2e294cf0-0143-417d-91d1-85e9959317a4" ] } ], "mendeley" : { "formattedCitation" : "(32)", "plainTextFormattedCitation" : "(32)", "previouslyFormattedCitation" : "(32)" }, "properties" : { "noteIndex" : 0 }, "schema" : "https://github.com/citation-style-language/schema/raw/master/csl-citation.json" }</w:instrText>
      </w:r>
      <w:r w:rsidR="007A3EDC">
        <w:rPr>
          <w:lang w:val="en-GB"/>
        </w:rPr>
        <w:fldChar w:fldCharType="separate"/>
      </w:r>
      <w:r w:rsidR="00C7364E" w:rsidRPr="00C7364E">
        <w:rPr>
          <w:noProof/>
          <w:lang w:val="en-GB"/>
        </w:rPr>
        <w:t>(32)</w:t>
      </w:r>
      <w:r w:rsidR="007A3EDC">
        <w:rPr>
          <w:lang w:val="en-GB"/>
        </w:rPr>
        <w:fldChar w:fldCharType="end"/>
      </w:r>
      <w:r w:rsidR="005A368E">
        <w:rPr>
          <w:lang w:val="en-GB"/>
        </w:rPr>
        <w:t xml:space="preserve">. </w:t>
      </w:r>
      <w:r w:rsidR="00674BAD">
        <w:rPr>
          <w:lang w:val="en-GB"/>
        </w:rPr>
        <w:t>Few</w:t>
      </w:r>
      <w:r w:rsidR="005A368E">
        <w:rPr>
          <w:lang w:val="en-GB"/>
        </w:rPr>
        <w:t xml:space="preserve"> cases of breast and prostate cancer have been published </w:t>
      </w:r>
      <w:r w:rsidR="007A3EDC">
        <w:rPr>
          <w:lang w:val="en-GB"/>
        </w:rPr>
        <w:fldChar w:fldCharType="begin" w:fldLock="1"/>
      </w:r>
      <w:r w:rsidR="002C52CA">
        <w:rPr>
          <w:lang w:val="en-GB"/>
        </w:rPr>
        <w:instrText>ADDIN CSL_CITATION { "citationItems" : [ { "id" : "ITEM-1", "itemData" : { "DOI" : "10.1001/jama.1988.03720150054036", "ISSN" : "0098-7484", "author" : [ { "dropping-particle" : "", "family" : "Pritchard", "given" : "Timothy James", "non-dropping-particle" : "", "parse-names" : false, "suffix" : "" } ], "container-title" : "JAMA", "id" : "ITEM-1", "issue" : "15", "issued" : { "date-parts" : [ [ "1988", "4", "15" ] ] }, "page" : "2278", "publisher" : "American Medical Association", "title" : "Breast Cancer in a Male-to-Female Transsexual", "type" : "article-journal", "volume" : "259" }, "uris" : [ "http://www.mendeley.com/documents/?uuid=153e33d6-4fbc-4b88-b0fa-7fb7e85f2be5" ] }, { "id" : "ITEM-2", "itemData" : { "DOI" : "10.1016/j.clbc.2014.08.004", "ISSN" : "15268209", "author" : [ { "dropping-particle" : "", "family" : "Sattari", "given" : "Maryam", "non-dropping-particle" : "", "parse-names" : false, "suffix" : "" } ], "container-title" : "Clinical Breast Cancer", "id" : "ITEM-2", "issue" : "1", "issued" : { "date-parts" : [ [ "2015" ] ] }, "page" : "e67-e69", "publisher" : "Elsevier Inc", "title" : "Breast Cancer in Male-to-Female Transgender Patients: A Case for Caution", "type" : "article-journal", "volume" : "15" }, "uris" : [ "http://www.mendeley.com/documents/?uuid=8cb933c6-34c9-4d20-9439-6b9d5fcc850e" ] }, { "id" : "ITEM-3", "itemData" : { "DOI" : "10.1001/jama.296.19.2316", "ISBN" : "1538-3598 (Electronic)\\r0098-7484 (Linking)", "ISSN" : "1538-3598 (Electronic) 0098-7484", "PMID" : "17105793", "author" : [ { "dropping-particle" : "", "family" : "Miksad", "given" : "R. A.", "non-dropping-particle" : "", "parse-names" : false, "suffix" : "" }, { "dropping-particle" : "", "family" : "Bubley", "given" : "G.", "non-dropping-particle" : "", "parse-names" : false, "suffix" : "" }, { "dropping-particle" : "", "family" : "Church", "given" : "P.", "non-dropping-particle" : "", "parse-names" : false, "suffix" : "" }, { "dropping-particle" : "", "family" : "Sanda", "given" : "M.", "non-dropping-particle" : "", "parse-names" : false, "suffix" : "" }, { "dropping-particle" : "", "family" : "Rofsky", "given" : "N.", "non-dropping-particle" : "", "parse-names" : false, "suffix" : "" }, { "dropping-particle" : "", "family" : "Kaplan", "given" : "I.", "non-dropping-particle" : "", "parse-names" : false, "suffix" : "" }, { "dropping-particle" : "", "family" : "Cooper", "given" : "A.", "non-dropping-particle" : "", "parse-names" : false, "suffix" : "" } ], "container-title" : "Journal of the American Medical Association", "id" : "ITEM-3", "issue" : "19", "issued" : { "date-parts" : [ [ "2006" ] ] }, "page" : "2316-2317", "title" : "Prostate cancer in a transgender woman 41 years after initiation of feminization", "type" : "article-journal", "volume" : "296" }, "uris" : [ "http://www.mendeley.com/documents/?uuid=3711386a-8348-4fee-afb2-46a935348790" ] } ], "mendeley" : { "formattedCitation" : "(39\u201341)", "plainTextFormattedCitation" : "(39\u201341)", "previouslyFormattedCitation" : "(39\u201341)" }, "properties" : { "noteIndex" : 0 }, "schema" : "https://github.com/citation-style-language/schema/raw/master/csl-citation.json" }</w:instrText>
      </w:r>
      <w:r w:rsidR="007A3EDC">
        <w:rPr>
          <w:lang w:val="en-GB"/>
        </w:rPr>
        <w:fldChar w:fldCharType="separate"/>
      </w:r>
      <w:r w:rsidR="00C7364E" w:rsidRPr="00C7364E">
        <w:rPr>
          <w:noProof/>
          <w:lang w:val="en-GB"/>
        </w:rPr>
        <w:t>(39–41)</w:t>
      </w:r>
      <w:r w:rsidR="007A3EDC">
        <w:rPr>
          <w:lang w:val="en-GB"/>
        </w:rPr>
        <w:fldChar w:fldCharType="end"/>
      </w:r>
      <w:r w:rsidR="005A368E">
        <w:rPr>
          <w:lang w:val="en-GB"/>
        </w:rPr>
        <w:t xml:space="preserve">. However rare, clinicians are generally advised to stay vigilant for </w:t>
      </w:r>
      <w:r w:rsidR="00FF40D5">
        <w:rPr>
          <w:lang w:val="en-GB"/>
        </w:rPr>
        <w:t xml:space="preserve">such </w:t>
      </w:r>
      <w:r w:rsidR="005A368E">
        <w:rPr>
          <w:lang w:val="en-GB"/>
        </w:rPr>
        <w:t xml:space="preserve">malignancies </w:t>
      </w:r>
      <w:r w:rsidR="007A3EDC">
        <w:rPr>
          <w:lang w:val="en-GB"/>
        </w:rPr>
        <w:fldChar w:fldCharType="begin" w:fldLock="1"/>
      </w:r>
      <w:r w:rsidR="002C52CA">
        <w:rPr>
          <w:lang w:val="en-GB"/>
        </w:rPr>
        <w:instrText>ADDIN CSL_CITATION { "citationItems" : [ { "id" : "ITEM-1", "itemData" : { "DOI" : "10.1530/EJE-08-0289", "ISSN" : "0804-4643", "author" : [ { "dropping-particle" : "", "family" : "Mueller", "given" : "A.", "non-dropping-particle" : "", "parse-names" : false, "suffix" : "" }, { "dropping-particle" : "", "family" : "Gooren", "given" : "L.", "non-dropping-particle" : "", "parse-names" : false, "suffix" : "" } ], "container-title" : "European Journal of Endocrinology", "id" : "ITEM-1", "issue" : "3", "issued" : { "date-parts" : [ [ "2008" ] ] }, "page" : "197-202", "title" : "Hormone-related tumors in transsexuals receiving treatment with cross-sex hormones", "type" : "article-journal", "volume" : "159" }, "uris" : [ "http://www.mendeley.com/documents/?uuid=c1686c9f-9317-4ac2-b904-1f2b2d68da68" ] } ], "mendeley" : { "formattedCitation" : "(42)", "plainTextFormattedCitation" : "(42)", "previouslyFormattedCitation" : "(42)" }, "properties" : { "noteIndex" : 0 }, "schema" : "https://github.com/citation-style-language/schema/raw/master/csl-citation.json" }</w:instrText>
      </w:r>
      <w:r w:rsidR="007A3EDC">
        <w:rPr>
          <w:lang w:val="en-GB"/>
        </w:rPr>
        <w:fldChar w:fldCharType="separate"/>
      </w:r>
      <w:r w:rsidR="00C7364E" w:rsidRPr="00C7364E">
        <w:rPr>
          <w:noProof/>
          <w:lang w:val="en-GB"/>
        </w:rPr>
        <w:t>(42)</w:t>
      </w:r>
      <w:r w:rsidR="007A3EDC">
        <w:rPr>
          <w:lang w:val="en-GB"/>
        </w:rPr>
        <w:fldChar w:fldCharType="end"/>
      </w:r>
      <w:r w:rsidR="005A368E">
        <w:rPr>
          <w:lang w:val="en-GB"/>
        </w:rPr>
        <w:t>.</w:t>
      </w:r>
      <w:r w:rsidR="00A11BB0">
        <w:rPr>
          <w:lang w:val="en-GB"/>
        </w:rPr>
        <w:t xml:space="preserve"> </w:t>
      </w:r>
    </w:p>
    <w:p w14:paraId="26428FCE" w14:textId="16657480" w:rsidR="00674BAD" w:rsidRDefault="00674BAD" w:rsidP="00674BAD">
      <w:pPr>
        <w:pStyle w:val="Kop3"/>
        <w:rPr>
          <w:lang w:val="en-GB"/>
        </w:rPr>
      </w:pPr>
      <w:bookmarkStart w:id="24" w:name="_Toc451961480"/>
      <w:r>
        <w:rPr>
          <w:lang w:val="en-GB"/>
        </w:rPr>
        <w:t>Androgens</w:t>
      </w:r>
      <w:bookmarkEnd w:id="24"/>
    </w:p>
    <w:p w14:paraId="1D374AB6" w14:textId="428DED07" w:rsidR="00F54DF2" w:rsidRPr="00D4769A" w:rsidRDefault="00AB3F41" w:rsidP="00CF5FA1">
      <w:pPr>
        <w:spacing w:after="0" w:line="360" w:lineRule="auto"/>
        <w:jc w:val="both"/>
        <w:rPr>
          <w:lang w:val="en-GB"/>
        </w:rPr>
      </w:pPr>
      <w:r>
        <w:rPr>
          <w:lang w:val="en-GB"/>
        </w:rPr>
        <w:t>In FtM</w:t>
      </w:r>
      <w:r w:rsidR="00D431C7">
        <w:rPr>
          <w:lang w:val="en-GB"/>
        </w:rPr>
        <w:t xml:space="preserve"> trans</w:t>
      </w:r>
      <w:r w:rsidR="00493539">
        <w:rPr>
          <w:lang w:val="en-GB"/>
        </w:rPr>
        <w:t>gender</w:t>
      </w:r>
      <w:r>
        <w:rPr>
          <w:lang w:val="en-GB"/>
        </w:rPr>
        <w:t xml:space="preserve"> adolescents</w:t>
      </w:r>
      <w:r w:rsidR="00384C96">
        <w:rPr>
          <w:lang w:val="en-GB"/>
        </w:rPr>
        <w:t>,</w:t>
      </w:r>
      <w:r w:rsidR="00F54DF2">
        <w:rPr>
          <w:lang w:val="en-GB"/>
        </w:rPr>
        <w:t xml:space="preserve"> </w:t>
      </w:r>
      <w:r w:rsidR="00F54DF2" w:rsidRPr="00D62C25">
        <w:rPr>
          <w:lang w:val="en-GB"/>
        </w:rPr>
        <w:t xml:space="preserve">CSH </w:t>
      </w:r>
      <w:r w:rsidR="00F54DF2">
        <w:rPr>
          <w:lang w:val="en-GB"/>
        </w:rPr>
        <w:t xml:space="preserve">under the form of </w:t>
      </w:r>
      <w:r w:rsidR="00F54DF2" w:rsidRPr="00D62C25">
        <w:rPr>
          <w:lang w:val="en-GB"/>
        </w:rPr>
        <w:t>test</w:t>
      </w:r>
      <w:r w:rsidR="00384C96">
        <w:rPr>
          <w:lang w:val="en-GB"/>
        </w:rPr>
        <w:t>osterone esters (TE)</w:t>
      </w:r>
      <w:r w:rsidR="00F54DF2">
        <w:rPr>
          <w:lang w:val="en-GB"/>
        </w:rPr>
        <w:t xml:space="preserve"> </w:t>
      </w:r>
      <w:r w:rsidR="00384C96">
        <w:rPr>
          <w:lang w:val="en-GB"/>
        </w:rPr>
        <w:t>(</w:t>
      </w:r>
      <w:r w:rsidR="00F54DF2">
        <w:rPr>
          <w:lang w:val="en-GB"/>
        </w:rPr>
        <w:t>Sustanon®</w:t>
      </w:r>
      <w:r w:rsidR="00384C96">
        <w:rPr>
          <w:lang w:val="en-GB"/>
        </w:rPr>
        <w:t>)</w:t>
      </w:r>
      <w:r w:rsidR="00F54DF2" w:rsidRPr="00D62C25">
        <w:rPr>
          <w:lang w:val="en-GB"/>
        </w:rPr>
        <w:t xml:space="preserve"> </w:t>
      </w:r>
      <w:r w:rsidR="00FF40D5">
        <w:rPr>
          <w:lang w:val="en-GB"/>
        </w:rPr>
        <w:t>are</w:t>
      </w:r>
      <w:r w:rsidR="00F54DF2" w:rsidRPr="00D62C25">
        <w:rPr>
          <w:lang w:val="en-GB"/>
        </w:rPr>
        <w:t xml:space="preserve"> added to the treatment from 16 years onwards if GD persists</w:t>
      </w:r>
      <w:r w:rsidR="00F54DF2" w:rsidRPr="00D4769A">
        <w:rPr>
          <w:lang w:val="en-GB"/>
        </w:rPr>
        <w:t>. After having reached an adult replacement dose, long acting testosterone undecanoate injections (Nebido®) are often considered more convenient.</w:t>
      </w:r>
    </w:p>
    <w:p w14:paraId="6D39F67D" w14:textId="6669FFA0" w:rsidR="00F54DF2" w:rsidRDefault="00F54DF2" w:rsidP="00CF5FA1">
      <w:pPr>
        <w:spacing w:after="0" w:line="360" w:lineRule="auto"/>
        <w:jc w:val="both"/>
        <w:rPr>
          <w:lang w:val="en-GB"/>
        </w:rPr>
      </w:pPr>
      <w:r w:rsidRPr="00D62C25">
        <w:rPr>
          <w:lang w:val="en-GB"/>
        </w:rPr>
        <w:lastRenderedPageBreak/>
        <w:t xml:space="preserve">The </w:t>
      </w:r>
      <w:r>
        <w:rPr>
          <w:lang w:val="en-GB"/>
        </w:rPr>
        <w:t xml:space="preserve">effects of TE </w:t>
      </w:r>
      <w:r w:rsidRPr="00D62C25">
        <w:rPr>
          <w:lang w:val="en-GB"/>
        </w:rPr>
        <w:t xml:space="preserve">administration </w:t>
      </w:r>
      <w:r>
        <w:rPr>
          <w:lang w:val="en-GB"/>
        </w:rPr>
        <w:t>have been well studied in adults. It</w:t>
      </w:r>
      <w:r w:rsidRPr="00D62C25">
        <w:rPr>
          <w:lang w:val="en-GB"/>
        </w:rPr>
        <w:t xml:space="preserve"> increase</w:t>
      </w:r>
      <w:r w:rsidR="00A11BB0">
        <w:rPr>
          <w:lang w:val="en-GB"/>
        </w:rPr>
        <w:t>s</w:t>
      </w:r>
      <w:r w:rsidRPr="00D62C25">
        <w:rPr>
          <w:lang w:val="en-GB"/>
        </w:rPr>
        <w:t xml:space="preserve"> facial and body hair, libido, muscle mass and the oiliness of the skin. It also result</w:t>
      </w:r>
      <w:r w:rsidR="00A11BB0">
        <w:rPr>
          <w:lang w:val="en-GB"/>
        </w:rPr>
        <w:t>s</w:t>
      </w:r>
      <w:r w:rsidRPr="00D62C25">
        <w:rPr>
          <w:lang w:val="en-GB"/>
        </w:rPr>
        <w:t xml:space="preserve"> in clitoromegaly</w:t>
      </w:r>
      <w:r w:rsidR="00EB5411">
        <w:rPr>
          <w:lang w:val="en-GB"/>
        </w:rPr>
        <w:t xml:space="preserve"> facilitating later metoidioplasty or phalloplasty</w:t>
      </w:r>
      <w:r w:rsidRPr="00D62C25">
        <w:rPr>
          <w:lang w:val="en-GB"/>
        </w:rPr>
        <w:t>, a deeper voice, cessation of menses, redistribution of fat mass and in so</w:t>
      </w:r>
      <w:r>
        <w:rPr>
          <w:lang w:val="en-GB"/>
        </w:rPr>
        <w:t xml:space="preserve">me cases male pattern balding </w:t>
      </w:r>
      <w:r w:rsidR="007A3EDC">
        <w:rPr>
          <w:lang w:val="en-GB"/>
        </w:rPr>
        <w:fldChar w:fldCharType="begin" w:fldLock="1"/>
      </w:r>
      <w:r w:rsidR="002C52CA">
        <w:rPr>
          <w:lang w:val="en-GB"/>
        </w:rPr>
        <w:instrText>ADDIN CSL_CITATION { "citationItems" : [ { "id" : "ITEM-1", "itemData" : { "DOI" : "10.1210/jc.2009-0345", "ISBN" : "0021-972X", "ISSN" : "0021-972X", "PMID" : "19509099", "abstract" : "OBJECTIVE: The aim was to formulate practice guidelines for endocrine treatment of transsexual persons. EVIDENCE: This evidence-based guideline was developed using the Grading of Recommendations, Assessment, Development, and Evaluation (GRADE) system to describe the strength of recommendations and the quality of evidence, which was low or very low. CONSENSUS PROCESS: Committees and members of The Endocrine Society, European Society of Endocrinology, European Society for Paediatric Endocrinology, Lawson Wilkins Pediatric Endocrine Society, and World Professional Association for Transgender Health commented on preliminary drafts of these guidelines. CONCLUSIONS: Transsexual persons seeking to develop the physical characteristics of the desired gender require a safe, effective hormone regimen that will 1) suppress endogenous hormone secretion determined by the person's genetic/biologic sex and 2) maintain sex hormone levels within the normal range for the person's desired gender. A mental health professional (MHP) must recommend endocrine treatment and participate in ongoing care throughout the endocrine transition and decision for surgical sex reassignment. The endocrinologist must confirm the diagnostic criteria the MHP used to make these recommendations. Because a diagnosis of transsexualism in a prepubertal child cannot be made with certainty, we do not recommend endocrine treatment of prepubertal children. We recommend treating transsexual adolescents (Tanner stage 2) by suppressing puberty with GnRH analogues until age 16 years old, after which cross-sex hormones may be given. We suggest suppressing endogenous sex hormones, maintaining physiologic levels of gender-appropriate sex hormones and monitoring for known risks in adult transsexual persons.", "author" : [ { "dropping-particle" : "", "family" : "Hembree", "given" : "Wylie C.", "non-dropping-particle" : "", "parse-names" : false, "suffix" : "" }, { "dropping-particle" : "", "family" : "Cohen-Kettenis", "given" : "Peggy", "non-dropping-particle" : "", "parse-names" : false, "suffix" : "" }, { "dropping-particle" : "", "family" : "Delemarre-Van De Waal", "given" : "Henriette A.", "non-dropping-particle" : "", "parse-names" : false, "suffix" : "" }, { "dropping-particle" : "", "family" : "Gooren", "given" : "Louis J.", "non-dropping-particle" : "", "parse-names" : false, "suffix" : "" }, { "dropping-particle" : "", "family" : "Meyer", "given" : "Walter J.", "non-dropping-particle" : "", "parse-names" : false, "suffix" : "" }, { "dropping-particle" : "", "family" : "Spack", "given" : "Norman P.", "non-dropping-particle" : "", "parse-names" : false, "suffix" : "" }, { "dropping-particle" : "", "family" : "Tangpricha", "given" : "Vin", "non-dropping-particle" : "", "parse-names" : false, "suffix" : "" }, { "dropping-particle" : "", "family" : "Montori", "given" : "Victor M.", "non-dropping-particle" : "", "parse-names" : false, "suffix" : "" } ], "container-title" : "The Journal of Clinical Endocrinology &amp; Metabolism", "id" : "ITEM-1", "issue" : "9", "issued" : { "date-parts" : [ [ "2009" ] ] }, "page" : "3132-3154", "title" : "Endocrine Treatment of Transsexual Persons:An Endocrine Society Clinical Practice Guideline", "type" : "article-journal", "volume" : "94" }, "uris" : [ "http://www.mendeley.com/documents/?uuid=bc5b1f05-c32d-4690-b85f-4556414dcb0d" ] }, { "id" : "ITEM-2", "itemData" : { "author" : [ { "dropping-particle" : "", "family" : "Gooren", "given" : "Louis J", "non-dropping-particle" : "", "parse-names" : false, "suffix" : "" }, { "dropping-particle" : "", "family" : "Ph", "given" : "D", "non-dropping-particle" : "", "parse-names" : false, "suffix" : "" } ], "id" : "ITEM-2", "issued" : { "date-parts" : [ [ "2011" ] ] }, "page" : "1251-1257", "title" : "Care of Transsexual Persons", "type" : "article-journal" }, "uris" : [ "http://www.mendeley.com/documents/?uuid=66ddc0eb-6b57-47d7-a40a-949b11aa6b42" ] }, { "id" : "ITEM-3", "itemData" : { "DOI" : "10.1111/jsm.12366", "ISSN" : "17436095", "author" : [ { "dropping-particle" : "", "family" : "Wierckx", "given" : "Katrien", "non-dropping-particle" : "", "parse-names" : false, "suffix" : "" }, { "dropping-particle" : "", "family" : "Peer", "given" : "Fleur", "non-dropping-particle" : "Van de", "parse-names" : false, "suffix" : "" }, { "dropping-particle" : "", "family" : "Verhaeghe", "given" : "Evelien", "non-dropping-particle" : "", "parse-names" : false, "suffix" : "" }, { "dropping-particle" : "", "family" : "Dedecker", "given" : "David", "non-dropping-particle" : "", "parse-names" : false, "suffix" : "" }, { "dropping-particle" : "", "family" : "Caenegem", "given" : "Eva", "non-dropping-particle" : "Van", "parse-names" : false, "suffix" : "" }, { "dropping-particle" : "", "family" : "Toye", "given" : "Kaatje", "non-dropping-particle" : "", "parse-names" : false, "suffix" : "" }, { "dropping-particle" : "", "family" : "Kaufman", "given" : "Jean Marc", "non-dropping-particle" : "", "parse-names" : false, "suffix" : "" }, { "dropping-particle" : "", "family" : "T'Sjoen", "given" : "Guy", "non-dropping-particle" : "", "parse-names" : false, "suffix" : "" } ], "container-title" : "The Journal of Sexual Medicine", "id" : "ITEM-3", "issue" : "1", "issued" : { "date-parts" : [ [ "2014" ] ] }, "page" : "222-229", "title" : "Short- and Long-Term Clinical Skin Effects of Testosterone Treatment in Trans Men", "type" : "article-journal", "volume" : "11" }, "uris" : [ "http://www.mendeley.com/documents/?uuid=4c39c7da-f43c-4bb1-b3ab-c13e110e32cb" ] }, { "id" : "ITEM-4", "itemData" : { "DOI" : "10.1111/jsm.12571", "ISSN" : "17436095", "author" : [ { "dropping-particle" : "", "family" : "Wierckx", "given" : "Katrien", "non-dropping-particle" : "", "parse-names" : false, "suffix" : "" }, { "dropping-particle" : "", "family" : "Caenegem", "given" : "Eva", "non-dropping-particle" : "Van", "parse-names" : false, "suffix" : "" }, { "dropping-particle" : "", "family" : "Schreiner", "given" : "Thomas", "non-dropping-particle" : "", "parse-names" : false, "suffix" : "" }, { "dropping-particle" : "", "family" : "Haraldsen", "given" : "Ira", "non-dropping-particle" : "", "parse-names" : false, "suffix" : "" }, { "dropping-particle" : "", "family" : "Fisher", "given" : "Alessandra", "non-dropping-particle" : "", "parse-names" : false, "suffix" : "" }, { "dropping-particle" : "", "family" : "Toye", "given" : "Kaatje", "non-dropping-particle" : "", "parse-names" : false, "suffix" : "" }, { "dropping-particle" : "", "family" : "Kaufman", "given" : "Jean Marc", "non-dropping-particle" : "", "parse-names" : false, "suffix" : "" }, { "dropping-particle" : "", "family" : "T'Sjoen", "given" : "Guy", "non-dropping-particle" : "", "parse-names" : false, "suffix" : "" } ], "container-title" : "The Journal of Sexual Medicine", "id" : "ITEM-4", "issued" : { "date-parts" : [ [ "2014" ] ] }, "page" : "1999-2011", "title" : "Cross-Sex Hormone Therapy in Trans Persons Is Safe and Effective at Short-Time Follow-Up: Results from the European Network for the Investigation of Gender Incongruence", "type" : "article-journal", "volume" : "11" }, "uris" : [ "http://www.mendeley.com/documents/?uuid=ed3a7a4a-3e69-4e5a-b892-b9eca8c4e3e8" ] } ], "mendeley" : { "formattedCitation" : "(9,18,43,44)", "plainTextFormattedCitation" : "(9,18,43,44)", "previouslyFormattedCitation" : "(9,18,43,44)" }, "properties" : { "noteIndex" : 0 }, "schema" : "https://github.com/citation-style-language/schema/raw/master/csl-citation.json" }</w:instrText>
      </w:r>
      <w:r w:rsidR="007A3EDC">
        <w:rPr>
          <w:lang w:val="en-GB"/>
        </w:rPr>
        <w:fldChar w:fldCharType="separate"/>
      </w:r>
      <w:r w:rsidR="00C7364E" w:rsidRPr="00C7364E">
        <w:rPr>
          <w:noProof/>
          <w:lang w:val="en-GB"/>
        </w:rPr>
        <w:t>(9,18,43,44)</w:t>
      </w:r>
      <w:r w:rsidR="007A3EDC">
        <w:rPr>
          <w:lang w:val="en-GB"/>
        </w:rPr>
        <w:fldChar w:fldCharType="end"/>
      </w:r>
      <w:r>
        <w:rPr>
          <w:lang w:val="en-GB"/>
        </w:rPr>
        <w:t>.</w:t>
      </w:r>
      <w:r w:rsidRPr="00D62C25">
        <w:rPr>
          <w:lang w:val="en-GB"/>
        </w:rPr>
        <w:t xml:space="preserve"> Although testosterone administration </w:t>
      </w:r>
      <w:r>
        <w:rPr>
          <w:lang w:val="en-GB"/>
        </w:rPr>
        <w:t>may cause</w:t>
      </w:r>
      <w:r w:rsidRPr="00D62C25">
        <w:rPr>
          <w:lang w:val="en-GB"/>
        </w:rPr>
        <w:t xml:space="preserve"> hypercholesterolemia, hypertension and reduced HDL levels, there is no evidence that cardio</w:t>
      </w:r>
      <w:r>
        <w:rPr>
          <w:lang w:val="en-GB"/>
        </w:rPr>
        <w:t xml:space="preserve">vascular pathology </w:t>
      </w:r>
      <w:r w:rsidR="00A11BB0">
        <w:rPr>
          <w:lang w:val="en-GB"/>
        </w:rPr>
        <w:t xml:space="preserve">is increased </w:t>
      </w:r>
      <w:r>
        <w:rPr>
          <w:lang w:val="en-GB"/>
        </w:rPr>
        <w:t xml:space="preserve">in FtM </w:t>
      </w:r>
      <w:r w:rsidR="007A3EDC">
        <w:rPr>
          <w:lang w:val="en-GB"/>
        </w:rPr>
        <w:fldChar w:fldCharType="begin" w:fldLock="1"/>
      </w:r>
      <w:r w:rsidR="002C52CA">
        <w:rPr>
          <w:lang w:val="en-GB"/>
        </w:rPr>
        <w:instrText>ADDIN CSL_CITATION { "citationItems" : [ { "id" : "ITEM-1", "itemData" : { "DOI" : "10.1530/EJE-14-0011", "ISSN" : "0804-4643", "author" : [ { "dropping-particle" : "", "family" : "Gooren", "given" : "L. J.", "non-dropping-particle" : "", "parse-names" : false, "suffix" : "" }, { "dropping-particle" : "", "family" : "Wierckx", "given" : "K.", "non-dropping-particle" : "", "parse-names" : false, "suffix" : "" }, { "dropping-particle" : "", "family" : "Giltay", "given" : "E. J.", "non-dropping-particle" : "", "parse-names" : false, "suffix" : "" } ], "container-title" : "European Journal of Endocrinology", "id" : "ITEM-1", "issue" : "6", "issued" : { "date-parts" : [ [ "2014" ] ] }, "page" : "809-819", "title" : "Cardiovascular disease in transsexual persons treated with cross-sex hormones: reversal of the traditional sex difference in cardiovascular disease pattern", "type" : "article-journal", "volume" : "170" }, "uris" : [ "http://www.mendeley.com/documents/?uuid=7e2621a7-7ff0-4898-aecd-556073e310a4" ] } ], "mendeley" : { "formattedCitation" : "(35)", "plainTextFormattedCitation" : "(35)", "previouslyFormattedCitation" : "(35)" }, "properties" : { "noteIndex" : 0 }, "schema" : "https://github.com/citation-style-language/schema/raw/master/csl-citation.json" }</w:instrText>
      </w:r>
      <w:r w:rsidR="007A3EDC">
        <w:rPr>
          <w:lang w:val="en-GB"/>
        </w:rPr>
        <w:fldChar w:fldCharType="separate"/>
      </w:r>
      <w:r w:rsidR="00C7364E" w:rsidRPr="00C7364E">
        <w:rPr>
          <w:noProof/>
          <w:lang w:val="en-GB"/>
        </w:rPr>
        <w:t>(35)</w:t>
      </w:r>
      <w:r w:rsidR="007A3EDC">
        <w:rPr>
          <w:lang w:val="en-GB"/>
        </w:rPr>
        <w:fldChar w:fldCharType="end"/>
      </w:r>
      <w:r>
        <w:rPr>
          <w:lang w:val="en-GB"/>
        </w:rPr>
        <w:t>.</w:t>
      </w:r>
      <w:r w:rsidRPr="00D62C25">
        <w:rPr>
          <w:lang w:val="en-GB"/>
        </w:rPr>
        <w:t xml:space="preserve"> </w:t>
      </w:r>
      <w:r w:rsidR="00DC5A2E">
        <w:rPr>
          <w:lang w:val="en-GB"/>
        </w:rPr>
        <w:t xml:space="preserve">Long-term testosterone treatment in adult FtM, has been shown to </w:t>
      </w:r>
      <w:r w:rsidR="00FE125E">
        <w:rPr>
          <w:lang w:val="en-GB"/>
        </w:rPr>
        <w:t>have positive effects on</w:t>
      </w:r>
      <w:r w:rsidR="00DC5A2E">
        <w:rPr>
          <w:lang w:val="en-GB"/>
        </w:rPr>
        <w:t xml:space="preserve"> trab</w:t>
      </w:r>
      <w:r w:rsidR="00FE125E">
        <w:rPr>
          <w:lang w:val="en-GB"/>
        </w:rPr>
        <w:t>ecular bone mineral density (BMD),</w:t>
      </w:r>
      <w:r w:rsidR="00E21768">
        <w:rPr>
          <w:lang w:val="en-GB"/>
        </w:rPr>
        <w:t xml:space="preserve"> whilst negatively impacting cortical BMD</w:t>
      </w:r>
      <w:r>
        <w:rPr>
          <w:lang w:val="en-GB"/>
        </w:rPr>
        <w:t xml:space="preserve"> </w:t>
      </w:r>
      <w:r w:rsidR="007A3EDC">
        <w:rPr>
          <w:lang w:val="en-GB"/>
        </w:rPr>
        <w:fldChar w:fldCharType="begin" w:fldLock="1"/>
      </w:r>
      <w:r w:rsidR="002C52CA">
        <w:rPr>
          <w:lang w:val="en-GB"/>
        </w:rPr>
        <w:instrText>ADDIN CSL_CITATION { "citationItems" : [ { "id" : "ITEM-1", "itemData" : { "DOI" : "10.1210/jc.2012-1187", "ISBN" : "0937-941X", "ISSN" : "0021972X", "PMID" : "22564669", "abstract" : "CONTEXT: Female-to-male transsexual persons (transsexual men) undergo extreme hormonal changes due to ovariectomy and testosterone substitution, allowing studies on sex steroid effects on bone geometry and physiology in the adult.\\n\\nOBJECTIVE: The objective of the study was to examine the effects of cross-gender sex steroid exposure on volumetric bone parameters in transsexual men.\\n\\nDESIGN: This was a cross-sectional study.\\n\\nSETTING: Participants were recruited from the Center for Sexology and Gender Problems at the Ghent University Hospital (Ghent, Belgium).\\n\\nPARTICIPANTS: Fifty transsexual men after sex reassignment surgery with 50 age-matched control women and an additional 16 transsexual men before testosterone substitution and sex reassignment surgery with 16 control women participated in the study.\\n\\nMAIN OUTCOME MEASURES: The main outcome measures were areal and volumetric bone parameters using dual-energy X-ray absorptiometry and peripheral quantitative computed tomography, body composition (dual-energy X-ray absorptiometry), sex steroids, markers of bone turnover and grip strength.\\n\\nRESULTS: Before hormonal treatment, transsexual men had similar body composition and bone geometry as female controls. The transsexual men on long-term testosterone therapy, however, demonstrated a higher lean body mass and muscle mass and a greater grip strength as well as a lower body and subcutaneous fat mass and a larger waist and smaller hip circumference compared with female controls (all P &lt; 0.001). We observed a larger radial cortical bone size (P &lt; 0.001) and lower cortical volumetric bone mineral density at the radius and tibia (P &lt; 0.05) in transsexual men on testosterone therapy.\\n\\nCONCLUSIONS: Transsexual men on testosterone substitution therapy present with a different body composition with more muscle mass and strength and less fat mass as well as an altered bone geometry with larger bones compared with female controls.", "author" : [ { "dropping-particle" : "", "family" : "Caenegem", "given" : "Eva", "non-dropping-particle" : "Van", "parse-names" : false, "suffix" : "" }, { "dropping-particle" : "", "family" : "Wierckx", "given" : "K.", "non-dropping-particle" : "", "parse-names" : false, "suffix" : "" }, { "dropping-particle" : "", "family" : "Taes", "given" : "Y.", "non-dropping-particle" : "", "parse-names" : false, "suffix" : "" }, { "dropping-particle" : "", "family" : "Dedecker", "given" : "D.", "non-dropping-particle" : "", "parse-names" : false, "suffix" : "" }, { "dropping-particle" : "", "family" : "Peer", "given" : "F.", "non-dropping-particle" : "Van De", "parse-names" : false, "suffix" : "" }, { "dropping-particle" : "", "family" : "Toye", "given" : "K.", "non-dropping-particle" : "", "parse-names" : false, "suffix" : "" }, { "dropping-particle" : "", "family" : "Kaufman", "given" : "J.-M. M.", "non-dropping-particle" : "", "parse-names" : false, "suffix" : "" }, { "dropping-particle" : "", "family" : "T'Sjoen", "given" : "G.", "non-dropping-particle" : "", "parse-names" : false, "suffix" : "" } ], "container-title" : "The Journal of Clinical Endocrinology &amp; Metabolism", "id" : "ITEM-1", "issue" : "7", "issued" : { "date-parts" : [ [ "2012" ] ] }, "page" : "2503-2511", "title" : "Bone mass, bone geometry, and body composition in female-to-male transsexual persons after long-term cross-sex hormonal therapy", "type" : "article-journal", "volume" : "97" }, "uris" : [ "http://www.mendeley.com/documents/?uuid=e786a9d0-435f-4a51-bdcd-8f32516c7f30" ] }, { "id" : "ITEM-2", "itemData" : { "DOI" : "10.1530/EJE-14-0586", "ISSN" : "0804-4643", "author" : [ { "dropping-particle" : "", "family" : "Caenegem", "given" : "E.", "non-dropping-particle" : "Van", "parse-names" : false, "suffix" : "" }, { "dropping-particle" : "", "family" : "Wierckx", "given" : "K.", "non-dropping-particle" : "", "parse-names" : false, "suffix" : "" }, { "dropping-particle" : "", "family" : "Taes", "given" : "Y.", "non-dropping-particle" : "", "parse-names" : false, "suffix" : "" }, { "dropping-particle" : "", "family" : "Schreiner", "given" : "T.", "non-dropping-particle" : "", "parse-names" : false, "suffix" : "" }, { "dropping-particle" : "", "family" : "Vandewalle", "given" : "S.", "non-dropping-particle" : "", "parse-names" : false, "suffix" : "" }, { "dropping-particle" : "", "family" : "Toye", "given" : "K.", "non-dropping-particle" : "", "parse-names" : false, "suffix" : "" }, { "dropping-particle" : "", "family" : "Lapauw", "given" : "B.", "non-dropping-particle" : "", "parse-names" : false, "suffix" : "" }, { "dropping-particle" : "", "family" : "Kaufman", "given" : "J.-M.", "non-dropping-particle" : "", "parse-names" : false, "suffix" : "" }, { "dropping-particle" : "", "family" : "T'Sjoen", "given" : "G.", "non-dropping-particle" : "", "parse-names" : false, "suffix" : "" } ], "container-title" : "European Journal of Endocrinology", "id" : "ITEM-2", "issue" : "2", "issued" : { "date-parts" : [ [ "2014" ] ] }, "page" : "163-171", "title" : "Body composition, bone turnover, and bone mass in trans men during testosterone treatment: 1-year follow-up data from a prospective case-controlled study (ENIGI)", "type" : "article-journal", "volume" : "172" }, "uris" : [ "http://www.mendeley.com/documents/?uuid=86cd9026-3633-46c7-9705-d9956395fe61" ] } ], "mendeley" : { "formattedCitation" : "(45,46)", "plainTextFormattedCitation" : "(45,46)", "previouslyFormattedCitation" : "(45,46)" }, "properties" : { "noteIndex" : 0 }, "schema" : "https://github.com/citation-style-language/schema/raw/master/csl-citation.json" }</w:instrText>
      </w:r>
      <w:r w:rsidR="007A3EDC">
        <w:rPr>
          <w:lang w:val="en-GB"/>
        </w:rPr>
        <w:fldChar w:fldCharType="separate"/>
      </w:r>
      <w:r w:rsidR="00C7364E" w:rsidRPr="00C7364E">
        <w:rPr>
          <w:noProof/>
          <w:lang w:val="en-GB"/>
        </w:rPr>
        <w:t>(45,46)</w:t>
      </w:r>
      <w:r w:rsidR="007A3EDC">
        <w:rPr>
          <w:lang w:val="en-GB"/>
        </w:rPr>
        <w:fldChar w:fldCharType="end"/>
      </w:r>
      <w:r>
        <w:rPr>
          <w:lang w:val="en-GB"/>
        </w:rPr>
        <w:t>.</w:t>
      </w:r>
      <w:r w:rsidRPr="00D62C25">
        <w:rPr>
          <w:lang w:val="en-GB"/>
        </w:rPr>
        <w:t xml:space="preserve"> </w:t>
      </w:r>
      <w:r>
        <w:rPr>
          <w:lang w:val="en-GB"/>
        </w:rPr>
        <w:t>Although</w:t>
      </w:r>
      <w:r w:rsidRPr="00D62C25">
        <w:rPr>
          <w:lang w:val="en-GB"/>
        </w:rPr>
        <w:t xml:space="preserve"> rare, induction of hormone-related cancers such as carcinomas of the female genital tract and </w:t>
      </w:r>
      <w:r w:rsidRPr="00917DD6">
        <w:rPr>
          <w:lang w:val="en-GB"/>
        </w:rPr>
        <w:t xml:space="preserve">breasts due to testosterone administration have been reported </w:t>
      </w:r>
      <w:r w:rsidR="007A3EDC">
        <w:rPr>
          <w:lang w:val="en-GB"/>
        </w:rPr>
        <w:fldChar w:fldCharType="begin" w:fldLock="1"/>
      </w:r>
      <w:r w:rsidR="002C52CA">
        <w:rPr>
          <w:lang w:val="en-GB"/>
        </w:rPr>
        <w:instrText>ADDIN CSL_CITATION { "citationItems" : [ { "id" : "ITEM-1", "itemData" : { "DOI" : "10.1530/EJE-08-0289", "ISSN" : "0804-4643", "author" : [ { "dropping-particle" : "", "family" : "Mueller", "given" : "A.", "non-dropping-particle" : "", "parse-names" : false, "suffix" : "" }, { "dropping-particle" : "", "family" : "Gooren", "given" : "L.", "non-dropping-particle" : "", "parse-names" : false, "suffix" : "" } ], "container-title" : "European Journal of Endocrinology", "id" : "ITEM-1", "issue" : "3", "issued" : { "date-parts" : [ [ "2008" ] ] }, "page" : "197-202", "title" : "Hormone-related tumors in transsexuals receiving treatment with cross-sex hormones", "type" : "article-journal", "volume" : "159" }, "uris" : [ "http://www.mendeley.com/documents/?uuid=c1686c9f-9317-4ac2-b904-1f2b2d68da68" ] }, { "id" : "ITEM-2", "itemData" : { "DOI" : "10.1097/MED.0000000000000064", "ISBN" : "0000000000000", "ISSN" : "1752-296X", "author" : [ { "dropping-particle" : "", "family" : "Gooren", "given" : "Louis J.", "non-dropping-particle" : "", "parse-names" : false, "suffix" : "" } ], "container-title" : "Current Opinion in Endocrinology &amp; Diabetes and Obesity", "id" : "ITEM-2", "issue" : "3", "issued" : { "date-parts" : [ [ "2014" ] ] }, "page" : "233-238", "title" : "Management of female-to-male transgender persons", "type" : "article-journal", "volume" : "21" }, "uris" : [ "http://www.mendeley.com/documents/?uuid=2b368d44-b425-45cf-bb05-f9a8f8c44fec" ] } ], "mendeley" : { "formattedCitation" : "(42,47)", "plainTextFormattedCitation" : "(42,47)", "previouslyFormattedCitation" : "(42,47)" }, "properties" : { "noteIndex" : 0 }, "schema" : "https://github.com/citation-style-language/schema/raw/master/csl-citation.json" }</w:instrText>
      </w:r>
      <w:r w:rsidR="007A3EDC">
        <w:rPr>
          <w:lang w:val="en-GB"/>
        </w:rPr>
        <w:fldChar w:fldCharType="separate"/>
      </w:r>
      <w:r w:rsidR="00C7364E" w:rsidRPr="00C7364E">
        <w:rPr>
          <w:noProof/>
          <w:lang w:val="en-GB"/>
        </w:rPr>
        <w:t>(42,47)</w:t>
      </w:r>
      <w:r w:rsidR="007A3EDC">
        <w:rPr>
          <w:lang w:val="en-GB"/>
        </w:rPr>
        <w:fldChar w:fldCharType="end"/>
      </w:r>
      <w:r w:rsidRPr="00917DD6">
        <w:rPr>
          <w:lang w:val="en-GB"/>
        </w:rPr>
        <w:t xml:space="preserve">. </w:t>
      </w:r>
      <w:r>
        <w:rPr>
          <w:lang w:val="en-GB"/>
        </w:rPr>
        <w:t xml:space="preserve">The use of </w:t>
      </w:r>
      <w:r w:rsidRPr="00A0520C">
        <w:rPr>
          <w:lang w:val="en-GB"/>
        </w:rPr>
        <w:t xml:space="preserve">TE in adolescents with </w:t>
      </w:r>
      <w:r>
        <w:rPr>
          <w:lang w:val="en-GB"/>
        </w:rPr>
        <w:t>GD has not been studied. I</w:t>
      </w:r>
      <w:r w:rsidRPr="003325D1">
        <w:rPr>
          <w:lang w:val="en-GB"/>
        </w:rPr>
        <w:t xml:space="preserve">t is hypothesized that the same bodily changes, side effects and hormonal shifts occur as in adults. </w:t>
      </w:r>
      <w:r>
        <w:rPr>
          <w:lang w:val="en-GB"/>
        </w:rPr>
        <w:t>I</w:t>
      </w:r>
      <w:r w:rsidRPr="003325D1">
        <w:rPr>
          <w:lang w:val="en-GB"/>
        </w:rPr>
        <w:t xml:space="preserve">t was </w:t>
      </w:r>
      <w:r w:rsidR="00415821">
        <w:rPr>
          <w:lang w:val="en-GB"/>
        </w:rPr>
        <w:t xml:space="preserve">recently </w:t>
      </w:r>
      <w:r w:rsidRPr="003325D1">
        <w:rPr>
          <w:lang w:val="en-GB"/>
        </w:rPr>
        <w:t xml:space="preserve">shown that TE from 16 years onwards can only partially reverse the decline in </w:t>
      </w:r>
      <w:r w:rsidR="00F67D69">
        <w:rPr>
          <w:lang w:val="en-GB"/>
        </w:rPr>
        <w:t>BMD</w:t>
      </w:r>
      <w:r w:rsidRPr="003325D1">
        <w:rPr>
          <w:lang w:val="en-GB"/>
        </w:rPr>
        <w:t xml:space="preserve"> observed during puberty suppression with GnRHa </w:t>
      </w:r>
      <w:r w:rsidR="007A3EDC">
        <w:rPr>
          <w:lang w:val="en-GB"/>
        </w:rPr>
        <w:fldChar w:fldCharType="begin" w:fldLock="1"/>
      </w:r>
      <w:r w:rsidR="002C52CA">
        <w:rPr>
          <w:lang w:val="en-GB"/>
        </w:rPr>
        <w:instrText>ADDIN CSL_CITATION { "citationItems" : [ { "id" : "ITEM-1", "itemData" : { "DOI" : "10.1210/jc.2014-2439", "ISSN" : "0021-972X", "author" : [ { "dropping-particle" : "", "family" : "Klink", "given" : "Daniel", "non-dropping-particle" : "", "parse-names" : false, "suffix" : "" }, { "dropping-particle" : "", "family" : "Caris", "given" : "Martine", "non-dropping-particle" : "", "parse-names" : false, "suffix" : "" }, { "dropping-particle" : "", "family" : "Heijboer", "given" : "Annemieke", "non-dropping-particle" : "", "parse-names" : false, "suffix" : "" }, { "dropping-particle" : "", "family" : "Trotsenburg", "given" : "Michael", "non-dropping-particle" : "van", "parse-names" : false, "suffix" : "" }, { "dropping-particle" : "", "family" : "Rotteveel", "given" : "Joost", "non-dropping-particle" : "", "parse-names" : false, "suffix" : "" } ], "container-title" : "The Journal of Clinical Endocrinology &amp; Metabolism", "id" : "ITEM-1", "issue" : "2", "issued" : { "date-parts" : [ [ "2015" ] ] }, "note" : "We used natal sex as a reference for aBMD z scores because the size and quality of cortex of the bone is determined during puberty and adolescence (9, 10), in line with recent studies on bone mass in transgender adults (11, 12)", "page" : "E270-E275", "title" : "Bone Mass in Young Adulthood Following Gonadotropin-Releasing Hormone Analog Treatment and Cross-Sex Hormone Treatment in Adolescents With Gender Dysphoria", "type" : "article-journal", "volume" : "100" }, "uris" : [ "http://www.mendeley.com/documents/?uuid=565fa812-8bbe-451b-b24f-794df44fd2b5" ] }, { "id" : "ITEM-2", "itemData" : { "DOI" : "10.1016/j.beem.2015.01.004", "ISSN" : "1521690X", "author" : [ { "dropping-particle" : "", "family" : "Cohen-Kettenis", "given" : "Peggy T.", "non-dropping-particle" : "", "parse-names" : false, "suffix" : "" }, { "dropping-particle" : "", "family" : "Klink", "given" : "Daniel", "non-dropping-particle" : "", "parse-names" : false, "suffix" : "" } ], "container-title" : "Best Practice &amp; Research Clinical Endocrinology &amp; Metabolism", "id" : "ITEM-2", "issue" : "3", "issued" : { "date-parts" : [ [ "2015" ] ] }, "page" : "485-495", "publisher" : "Elsevier Ltd", "title" : "Adolescents with gender dysphoria", "type" : "article-journal", "volume" : "29" }, "uris" : [ "http://www.mendeley.com/documents/?uuid=1bb33cf8-c0ba-4d65-9582-de1f5581cdd8" ] } ], "mendeley" : { "formattedCitation" : "(48,49)", "plainTextFormattedCitation" : "(48,49)", "previouslyFormattedCitation" : "(48,49)" }, "properties" : { "noteIndex" : 0 }, "schema" : "https://github.com/citation-style-language/schema/raw/master/csl-citation.json" }</w:instrText>
      </w:r>
      <w:r w:rsidR="007A3EDC">
        <w:rPr>
          <w:lang w:val="en-GB"/>
        </w:rPr>
        <w:fldChar w:fldCharType="separate"/>
      </w:r>
      <w:r w:rsidR="00C7364E" w:rsidRPr="00C7364E">
        <w:rPr>
          <w:noProof/>
          <w:lang w:val="en-GB"/>
        </w:rPr>
        <w:t>(48,49)</w:t>
      </w:r>
      <w:r w:rsidR="007A3EDC">
        <w:rPr>
          <w:lang w:val="en-GB"/>
        </w:rPr>
        <w:fldChar w:fldCharType="end"/>
      </w:r>
      <w:r w:rsidRPr="003325D1">
        <w:rPr>
          <w:lang w:val="en-GB"/>
        </w:rPr>
        <w:t>.</w:t>
      </w:r>
    </w:p>
    <w:p w14:paraId="38EF61A9" w14:textId="7AD0987D" w:rsidR="00BD16F5" w:rsidRDefault="0026009E" w:rsidP="00CF5FA1">
      <w:pPr>
        <w:spacing w:after="0" w:line="360" w:lineRule="auto"/>
        <w:jc w:val="both"/>
        <w:rPr>
          <w:lang w:val="en-GB"/>
        </w:rPr>
      </w:pPr>
      <w:r>
        <w:rPr>
          <w:lang w:val="en-GB"/>
        </w:rPr>
        <w:t>The flowchart of the care plan for GD at Ghent University</w:t>
      </w:r>
      <w:r w:rsidR="002829D4">
        <w:rPr>
          <w:lang w:val="en-GB"/>
        </w:rPr>
        <w:t xml:space="preserve"> Hospital is represented in Figure 1.</w:t>
      </w:r>
    </w:p>
    <w:p w14:paraId="46D056E9" w14:textId="77777777" w:rsidR="0026009E" w:rsidRDefault="0026009E" w:rsidP="00CF5FA1">
      <w:pPr>
        <w:spacing w:after="0" w:line="360" w:lineRule="auto"/>
        <w:jc w:val="both"/>
        <w:rPr>
          <w:lang w:val="en-GB"/>
        </w:rPr>
      </w:pPr>
    </w:p>
    <w:p w14:paraId="63B21976" w14:textId="3BCD39AB" w:rsidR="00FC1CF1" w:rsidRDefault="00F842F0" w:rsidP="00353569">
      <w:pPr>
        <w:spacing w:after="0" w:line="360" w:lineRule="auto"/>
        <w:rPr>
          <w:lang w:val="en-GB"/>
        </w:rPr>
      </w:pPr>
      <w:r w:rsidRPr="00F842F0">
        <w:rPr>
          <w:noProof/>
        </w:rPr>
        <w:drawing>
          <wp:inline distT="0" distB="0" distL="0" distR="0" wp14:anchorId="792C3655" wp14:editId="61C38494">
            <wp:extent cx="5760720" cy="4197096"/>
            <wp:effectExtent l="0" t="0" r="0" b="0"/>
            <wp:docPr id="27" name="Afbeelding 27" descr="C:\Users\Lloyd\AppData\Local\Microsoft\Windows\INetCache\IE\X303TBRH\Blank Flowchart - New P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loyd\AppData\Local\Microsoft\Windows\INetCache\IE\X303TBRH\Blank Flowchart - New Page.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197096"/>
                    </a:xfrm>
                    <a:prstGeom prst="rect">
                      <a:avLst/>
                    </a:prstGeom>
                    <a:noFill/>
                    <a:ln>
                      <a:noFill/>
                    </a:ln>
                  </pic:spPr>
                </pic:pic>
              </a:graphicData>
            </a:graphic>
          </wp:inline>
        </w:drawing>
      </w:r>
    </w:p>
    <w:p w14:paraId="60E75158" w14:textId="062B0C00" w:rsidR="00E860B9" w:rsidRPr="004033FF" w:rsidRDefault="00E860B9" w:rsidP="00E860B9">
      <w:pPr>
        <w:spacing w:after="0" w:line="240" w:lineRule="auto"/>
        <w:jc w:val="both"/>
        <w:rPr>
          <w:sz w:val="18"/>
          <w:szCs w:val="18"/>
          <w:lang w:val="en-GB"/>
        </w:rPr>
      </w:pPr>
      <w:r w:rsidRPr="004033FF">
        <w:rPr>
          <w:b/>
          <w:sz w:val="18"/>
          <w:szCs w:val="18"/>
          <w:lang w:val="en-GB"/>
        </w:rPr>
        <w:t>Figure 1.</w:t>
      </w:r>
      <w:r w:rsidRPr="004033FF">
        <w:rPr>
          <w:sz w:val="18"/>
          <w:szCs w:val="18"/>
          <w:lang w:val="en-GB"/>
        </w:rPr>
        <w:t xml:space="preserve"> Flowchart of care plan</w:t>
      </w:r>
      <w:r w:rsidR="004033FF">
        <w:rPr>
          <w:sz w:val="18"/>
          <w:szCs w:val="18"/>
          <w:lang w:val="en-GB"/>
        </w:rPr>
        <w:t xml:space="preserve"> for GD</w:t>
      </w:r>
      <w:r w:rsidRPr="004033FF">
        <w:rPr>
          <w:sz w:val="18"/>
          <w:szCs w:val="18"/>
          <w:lang w:val="en-GB"/>
        </w:rPr>
        <w:t xml:space="preserve"> at Ghent University Hospital.</w:t>
      </w:r>
    </w:p>
    <w:p w14:paraId="4287AE0A" w14:textId="77777777" w:rsidR="00FC1CF1" w:rsidRPr="003325D1" w:rsidRDefault="00FC1CF1" w:rsidP="00353569">
      <w:pPr>
        <w:spacing w:after="0" w:line="360" w:lineRule="auto"/>
        <w:rPr>
          <w:lang w:val="en-GB"/>
        </w:rPr>
      </w:pPr>
    </w:p>
    <w:p w14:paraId="6A2C9E3B" w14:textId="77777777" w:rsidR="00A6470A" w:rsidRPr="00D62C25" w:rsidRDefault="00A6470A" w:rsidP="00A6470A">
      <w:pPr>
        <w:spacing w:after="0" w:line="480" w:lineRule="auto"/>
        <w:rPr>
          <w:lang w:val="en-GB"/>
        </w:rPr>
      </w:pPr>
    </w:p>
    <w:p w14:paraId="2F9748E9" w14:textId="77777777" w:rsidR="00B03E48" w:rsidRPr="00D4001A" w:rsidRDefault="00B03E48" w:rsidP="00C942CA">
      <w:pPr>
        <w:pStyle w:val="Kop1"/>
        <w:rPr>
          <w:lang w:val="en-GB"/>
        </w:rPr>
      </w:pPr>
      <w:bookmarkStart w:id="25" w:name="_Toc451961481"/>
      <w:r w:rsidRPr="00D4001A">
        <w:rPr>
          <w:lang w:val="en-GB"/>
        </w:rPr>
        <w:lastRenderedPageBreak/>
        <w:t>Goals of the research</w:t>
      </w:r>
      <w:bookmarkEnd w:id="25"/>
      <w:r w:rsidRPr="00D4001A">
        <w:rPr>
          <w:lang w:val="en-GB"/>
        </w:rPr>
        <w:t xml:space="preserve"> </w:t>
      </w:r>
    </w:p>
    <w:p w14:paraId="59D4DB2D" w14:textId="03B438EF" w:rsidR="0002731B" w:rsidRDefault="0002731B" w:rsidP="008652D7">
      <w:pPr>
        <w:spacing w:after="0" w:line="360" w:lineRule="auto"/>
        <w:jc w:val="both"/>
        <w:rPr>
          <w:lang w:val="en-GB"/>
        </w:rPr>
      </w:pPr>
      <w:r>
        <w:rPr>
          <w:lang w:val="en-GB"/>
        </w:rPr>
        <w:t xml:space="preserve">Since GnRHa are expensive and </w:t>
      </w:r>
      <w:r w:rsidR="00A11BB0">
        <w:rPr>
          <w:lang w:val="en-GB"/>
        </w:rPr>
        <w:t>benefits are less clear</w:t>
      </w:r>
      <w:r>
        <w:rPr>
          <w:lang w:val="en-GB"/>
        </w:rPr>
        <w:t xml:space="preserve"> in adolescents with already advanced pubertal development, progestins have been postulated </w:t>
      </w:r>
      <w:r w:rsidR="00A11BB0">
        <w:rPr>
          <w:lang w:val="en-GB"/>
        </w:rPr>
        <w:t>as a valuable</w:t>
      </w:r>
      <w:r>
        <w:rPr>
          <w:lang w:val="en-GB"/>
        </w:rPr>
        <w:t xml:space="preserve"> alternative </w:t>
      </w:r>
      <w:r w:rsidR="00BE41F8">
        <w:rPr>
          <w:lang w:val="en-GB"/>
        </w:rPr>
        <w:t xml:space="preserve">in countries </w:t>
      </w:r>
      <w:r w:rsidR="00A11BB0">
        <w:rPr>
          <w:lang w:val="en-GB"/>
        </w:rPr>
        <w:t xml:space="preserve">where endocrine treatment of GD is not </w:t>
      </w:r>
      <w:r w:rsidR="002A2AEB">
        <w:rPr>
          <w:lang w:val="en-GB"/>
        </w:rPr>
        <w:t>reimburse</w:t>
      </w:r>
      <w:r w:rsidR="00A11BB0">
        <w:rPr>
          <w:lang w:val="en-GB"/>
        </w:rPr>
        <w:t>d.</w:t>
      </w:r>
      <w:r w:rsidR="002A2AEB">
        <w:rPr>
          <w:lang w:val="en-GB"/>
        </w:rPr>
        <w:t xml:space="preserve"> </w:t>
      </w:r>
      <w:r>
        <w:rPr>
          <w:lang w:val="en-GB"/>
        </w:rPr>
        <w:t>However</w:t>
      </w:r>
      <w:r w:rsidR="00FE125E">
        <w:rPr>
          <w:lang w:val="en-GB"/>
        </w:rPr>
        <w:t>,</w:t>
      </w:r>
      <w:r>
        <w:rPr>
          <w:lang w:val="en-GB"/>
        </w:rPr>
        <w:t xml:space="preserve"> no studies have been </w:t>
      </w:r>
      <w:r w:rsidR="00F70D6C">
        <w:rPr>
          <w:lang w:val="en-GB"/>
        </w:rPr>
        <w:t>published</w:t>
      </w:r>
      <w:r>
        <w:rPr>
          <w:lang w:val="en-GB"/>
        </w:rPr>
        <w:t xml:space="preserve"> t</w:t>
      </w:r>
      <w:r w:rsidR="00A11BB0">
        <w:rPr>
          <w:lang w:val="en-GB"/>
        </w:rPr>
        <w:t>hat</w:t>
      </w:r>
      <w:r>
        <w:rPr>
          <w:lang w:val="en-GB"/>
        </w:rPr>
        <w:t xml:space="preserve"> </w:t>
      </w:r>
      <w:r w:rsidR="00A11BB0">
        <w:rPr>
          <w:lang w:val="en-GB"/>
        </w:rPr>
        <w:t>invest</w:t>
      </w:r>
      <w:r w:rsidR="00FE125E">
        <w:rPr>
          <w:lang w:val="en-GB"/>
        </w:rPr>
        <w:t>i</w:t>
      </w:r>
      <w:r w:rsidR="00A11BB0">
        <w:rPr>
          <w:lang w:val="en-GB"/>
        </w:rPr>
        <w:t>gate</w:t>
      </w:r>
      <w:r w:rsidR="00FE125E">
        <w:rPr>
          <w:lang w:val="en-GB"/>
        </w:rPr>
        <w:t>d</w:t>
      </w:r>
      <w:r w:rsidR="00A11BB0">
        <w:rPr>
          <w:lang w:val="en-GB"/>
        </w:rPr>
        <w:t xml:space="preserve"> the effects of </w:t>
      </w:r>
      <w:r w:rsidR="00FE125E">
        <w:rPr>
          <w:lang w:val="en-GB"/>
        </w:rPr>
        <w:t>this</w:t>
      </w:r>
      <w:r>
        <w:rPr>
          <w:lang w:val="en-GB"/>
        </w:rPr>
        <w:t xml:space="preserve"> t</w:t>
      </w:r>
      <w:r w:rsidR="00F70D6C">
        <w:rPr>
          <w:lang w:val="en-GB"/>
        </w:rPr>
        <w:t>reatment in adolescents with GD</w:t>
      </w:r>
      <w:r>
        <w:rPr>
          <w:lang w:val="en-GB"/>
        </w:rPr>
        <w:t xml:space="preserve"> (</w:t>
      </w:r>
      <w:r w:rsidR="00FE7B2E">
        <w:rPr>
          <w:lang w:val="en-GB"/>
        </w:rPr>
        <w:t>apart from</w:t>
      </w:r>
      <w:r>
        <w:rPr>
          <w:lang w:val="en-GB"/>
        </w:rPr>
        <w:t xml:space="preserve"> the </w:t>
      </w:r>
      <w:r w:rsidR="00FE7B2E">
        <w:rPr>
          <w:lang w:val="en-GB"/>
        </w:rPr>
        <w:t xml:space="preserve">already </w:t>
      </w:r>
      <w:r>
        <w:rPr>
          <w:lang w:val="en-GB"/>
        </w:rPr>
        <w:t xml:space="preserve">published </w:t>
      </w:r>
      <w:r w:rsidR="00A46552">
        <w:rPr>
          <w:lang w:val="en-GB"/>
        </w:rPr>
        <w:t xml:space="preserve">results of this study </w:t>
      </w:r>
      <w:r w:rsidR="007A3EDC">
        <w:rPr>
          <w:lang w:val="en-GB"/>
        </w:rPr>
        <w:fldChar w:fldCharType="begin" w:fldLock="1"/>
      </w:r>
      <w:r w:rsidR="002C52CA">
        <w:rPr>
          <w:lang w:val="en-GB"/>
        </w:rPr>
        <w:instrText>ADDIN CSL_CITATION { "citationItems" : [ { "id" : "ITEM-1", "itemData" : { "DOI" : "10.1186/s13293-016-0067-9", "ISSN" : "2042-6410", "author" : [ { "dropping-particle" : "", "family" : "Tack", "given" : "Lloyd J. W.", "non-dropping-particle" : "", "parse-names" : false, "suffix" : "" }, { "dropping-particle" : "", "family" : "Craen", "given" : "Margarita", "non-dropping-particle" : "", "parse-names" : false, "suffix" : "" }, { "dropping-particle" : "", "family" : "Dhondt", "given" : "Karlien", "non-dropping-particle" : "", "parse-names" : false, "suffix" : "" }, { "dropping-particle" : "", "family" : "Bossche", "given" : "Heidi", "non-dropping-particle" : "Vanden", "parse-names" : false, "suffix" : "" }, { "dropping-particle" : "", "family" : "Laridaen", "given" : "Jolien", "non-dropping-particle" : "", "parse-names" : false, "suffix" : "" }, { "dropping-particle" : "", "family" : "Cools", "given" : "Martine", "non-dropping-particle" : "", "parse-names" : false, "suffix" : "" } ], "container-title" : "Biology of Sex Differences", "id" : "ITEM-1", "issue" : "1", "issued" : { "date-parts" : [ [ "2016" ] ] }, "page" : "14", "publisher" : "Biology of Sex Differences", "title" : "Consecutive lynestrenol and cross-sex hormone treatment in biological female adolescents with gender dysphoria: a retrospective analysis", "type" : "article-journal", "volume" : "7" }, "uris" : [ "http://www.mendeley.com/documents/?uuid=7b973bd8-b411-4207-a0cf-44d4f7d85849" ] } ], "mendeley" : { "formattedCitation" : "(50)", "plainTextFormattedCitation" : "(50)", "previouslyFormattedCitation" : "(50)" }, "properties" : { "noteIndex" : 0 }, "schema" : "https://github.com/citation-style-language/schema/raw/master/csl-citation.json" }</w:instrText>
      </w:r>
      <w:r w:rsidR="007A3EDC">
        <w:rPr>
          <w:lang w:val="en-GB"/>
        </w:rPr>
        <w:fldChar w:fldCharType="separate"/>
      </w:r>
      <w:r w:rsidR="00C7364E" w:rsidRPr="00C7364E">
        <w:rPr>
          <w:noProof/>
          <w:lang w:val="en-GB"/>
        </w:rPr>
        <w:t>(50)</w:t>
      </w:r>
      <w:r w:rsidR="007A3EDC">
        <w:rPr>
          <w:lang w:val="en-GB"/>
        </w:rPr>
        <w:fldChar w:fldCharType="end"/>
      </w:r>
      <w:r w:rsidR="00A46552">
        <w:rPr>
          <w:lang w:val="en-GB"/>
        </w:rPr>
        <w:t>)</w:t>
      </w:r>
      <w:r w:rsidR="00095847">
        <w:rPr>
          <w:lang w:val="en-GB"/>
        </w:rPr>
        <w:t>.</w:t>
      </w:r>
      <w:r w:rsidR="00BE41F8">
        <w:rPr>
          <w:lang w:val="en-GB"/>
        </w:rPr>
        <w:t xml:space="preserve"> The overall aim of the study was to assess whether or not treatment with progestins is safe and effective in treating adolescents with GD.</w:t>
      </w:r>
      <w:r w:rsidR="00FE7B2E">
        <w:rPr>
          <w:lang w:val="en-GB"/>
        </w:rPr>
        <w:t xml:space="preserve"> In addition, we wanted to evaluate the safety and effectiveness of our incremental CSH regimen in transgender youth.</w:t>
      </w:r>
    </w:p>
    <w:p w14:paraId="55E92098" w14:textId="77777777" w:rsidR="0002731B" w:rsidRDefault="0002731B" w:rsidP="008652D7">
      <w:pPr>
        <w:spacing w:after="0" w:line="360" w:lineRule="auto"/>
        <w:jc w:val="both"/>
        <w:rPr>
          <w:lang w:val="en-GB"/>
        </w:rPr>
      </w:pPr>
    </w:p>
    <w:p w14:paraId="6B94397D" w14:textId="77777777" w:rsidR="0002731B" w:rsidRDefault="004E7AA2" w:rsidP="008652D7">
      <w:pPr>
        <w:spacing w:after="0" w:line="360" w:lineRule="auto"/>
        <w:jc w:val="both"/>
        <w:rPr>
          <w:lang w:val="en-GB"/>
        </w:rPr>
      </w:pPr>
      <w:r>
        <w:rPr>
          <w:lang w:val="en-GB"/>
        </w:rPr>
        <w:t xml:space="preserve">To assess the impact of </w:t>
      </w:r>
      <w:r w:rsidR="00996007">
        <w:rPr>
          <w:lang w:val="en-GB"/>
        </w:rPr>
        <w:t xml:space="preserve">treatment with </w:t>
      </w:r>
      <w:r w:rsidR="0002731B">
        <w:rPr>
          <w:lang w:val="en-GB"/>
        </w:rPr>
        <w:t>CA</w:t>
      </w:r>
      <w:r>
        <w:rPr>
          <w:lang w:val="en-GB"/>
        </w:rPr>
        <w:t xml:space="preserve"> and </w:t>
      </w:r>
      <w:r w:rsidR="0002731B">
        <w:rPr>
          <w:lang w:val="en-GB"/>
        </w:rPr>
        <w:t>L</w:t>
      </w:r>
      <w:r>
        <w:rPr>
          <w:lang w:val="en-GB"/>
        </w:rPr>
        <w:t>, the study was divided in three parts.</w:t>
      </w:r>
    </w:p>
    <w:p w14:paraId="306E5B2F" w14:textId="60FCE9D5" w:rsidR="008A3977" w:rsidRDefault="0002731B" w:rsidP="008652D7">
      <w:pPr>
        <w:spacing w:after="0" w:line="360" w:lineRule="auto"/>
        <w:jc w:val="both"/>
        <w:rPr>
          <w:lang w:val="en-GB"/>
        </w:rPr>
      </w:pPr>
      <w:r>
        <w:rPr>
          <w:lang w:val="en-GB"/>
        </w:rPr>
        <w:t>The goal of t</w:t>
      </w:r>
      <w:r w:rsidR="004E7AA2">
        <w:rPr>
          <w:lang w:val="en-GB"/>
        </w:rPr>
        <w:t>he first and second</w:t>
      </w:r>
      <w:r>
        <w:rPr>
          <w:lang w:val="en-GB"/>
        </w:rPr>
        <w:t xml:space="preserve"> part</w:t>
      </w:r>
      <w:r w:rsidR="004E7AA2">
        <w:rPr>
          <w:lang w:val="en-GB"/>
        </w:rPr>
        <w:t xml:space="preserve"> w</w:t>
      </w:r>
      <w:r>
        <w:rPr>
          <w:lang w:val="en-GB"/>
        </w:rPr>
        <w:t>as</w:t>
      </w:r>
      <w:r w:rsidR="004E7AA2">
        <w:rPr>
          <w:lang w:val="en-GB"/>
        </w:rPr>
        <w:t xml:space="preserve"> t</w:t>
      </w:r>
      <w:r>
        <w:rPr>
          <w:lang w:val="en-GB"/>
        </w:rPr>
        <w:t>o</w:t>
      </w:r>
      <w:r w:rsidR="008A3977" w:rsidRPr="00917DD6">
        <w:rPr>
          <w:lang w:val="en-GB"/>
        </w:rPr>
        <w:t xml:space="preserve"> retrospec</w:t>
      </w:r>
      <w:r w:rsidR="004E7AA2">
        <w:rPr>
          <w:lang w:val="en-GB"/>
        </w:rPr>
        <w:t>tively analys</w:t>
      </w:r>
      <w:r>
        <w:rPr>
          <w:lang w:val="en-GB"/>
        </w:rPr>
        <w:t>e</w:t>
      </w:r>
      <w:r w:rsidR="004E7AA2">
        <w:rPr>
          <w:lang w:val="en-GB"/>
        </w:rPr>
        <w:t xml:space="preserve"> </w:t>
      </w:r>
      <w:r w:rsidR="008A3977" w:rsidRPr="00D62C25">
        <w:rPr>
          <w:lang w:val="en-GB"/>
        </w:rPr>
        <w:t>the impact</w:t>
      </w:r>
      <w:r w:rsidR="004E7AA2">
        <w:rPr>
          <w:lang w:val="en-GB"/>
        </w:rPr>
        <w:t xml:space="preserve"> of consecutive treatment with </w:t>
      </w:r>
      <w:r w:rsidR="00996007">
        <w:rPr>
          <w:lang w:val="en-GB"/>
        </w:rPr>
        <w:t xml:space="preserve">respectively L </w:t>
      </w:r>
      <w:r w:rsidR="000B6D66">
        <w:rPr>
          <w:lang w:val="en-GB"/>
        </w:rPr>
        <w:t>and</w:t>
      </w:r>
      <w:r w:rsidR="004E7AA2">
        <w:rPr>
          <w:lang w:val="en-GB"/>
        </w:rPr>
        <w:t xml:space="preserve"> </w:t>
      </w:r>
      <w:r w:rsidR="00996007">
        <w:rPr>
          <w:lang w:val="en-GB"/>
        </w:rPr>
        <w:t>CA</w:t>
      </w:r>
      <w:r>
        <w:rPr>
          <w:lang w:val="en-GB"/>
        </w:rPr>
        <w:t xml:space="preserve"> in</w:t>
      </w:r>
      <w:r w:rsidR="004E7AA2">
        <w:rPr>
          <w:lang w:val="en-GB"/>
        </w:rPr>
        <w:t xml:space="preserve"> </w:t>
      </w:r>
      <w:r w:rsidR="008A3977" w:rsidRPr="00D62C25">
        <w:rPr>
          <w:lang w:val="en-GB"/>
        </w:rPr>
        <w:t>monot</w:t>
      </w:r>
      <w:r w:rsidR="004E7AA2">
        <w:rPr>
          <w:lang w:val="en-GB"/>
        </w:rPr>
        <w:t xml:space="preserve">herapy and in combination with </w:t>
      </w:r>
      <w:r w:rsidR="00996007">
        <w:rPr>
          <w:lang w:val="en-GB"/>
        </w:rPr>
        <w:t>TE</w:t>
      </w:r>
      <w:r w:rsidR="004E7AA2">
        <w:rPr>
          <w:lang w:val="en-GB"/>
        </w:rPr>
        <w:t xml:space="preserve"> or </w:t>
      </w:r>
      <w:r w:rsidR="00996007">
        <w:rPr>
          <w:lang w:val="en-GB"/>
        </w:rPr>
        <w:t>E</w:t>
      </w:r>
      <w:r w:rsidR="008A3977" w:rsidRPr="00D62C25">
        <w:rPr>
          <w:lang w:val="en-GB"/>
        </w:rPr>
        <w:t xml:space="preserve"> on physical characteristics, safety</w:t>
      </w:r>
      <w:r w:rsidR="008A3977">
        <w:rPr>
          <w:lang w:val="en-GB"/>
        </w:rPr>
        <w:t>,</w:t>
      </w:r>
      <w:r w:rsidR="008A3977" w:rsidRPr="00D62C25">
        <w:rPr>
          <w:lang w:val="en-GB"/>
        </w:rPr>
        <w:t xml:space="preserve"> metabolic parameters and hormone levels in a relatively large cohort of FtM</w:t>
      </w:r>
      <w:r w:rsidR="004E7AA2">
        <w:rPr>
          <w:lang w:val="en-GB"/>
        </w:rPr>
        <w:t xml:space="preserve"> and MtF</w:t>
      </w:r>
      <w:r w:rsidR="008A3977" w:rsidRPr="00D62C25">
        <w:rPr>
          <w:lang w:val="en-GB"/>
        </w:rPr>
        <w:t xml:space="preserve"> </w:t>
      </w:r>
      <w:r w:rsidR="00CF5FA1">
        <w:rPr>
          <w:lang w:val="en-GB"/>
        </w:rPr>
        <w:t>trans</w:t>
      </w:r>
      <w:r w:rsidR="00493539">
        <w:rPr>
          <w:lang w:val="en-GB"/>
        </w:rPr>
        <w:t>gender</w:t>
      </w:r>
      <w:r w:rsidR="008A3977" w:rsidRPr="00D62C25">
        <w:rPr>
          <w:lang w:val="en-GB"/>
        </w:rPr>
        <w:t xml:space="preserve"> adolescents and to report side effects that occurred during this treatment.</w:t>
      </w:r>
    </w:p>
    <w:p w14:paraId="14ACEDC6" w14:textId="5669F77A" w:rsidR="000B6D66" w:rsidRDefault="004E7AA2" w:rsidP="008652D7">
      <w:pPr>
        <w:spacing w:after="0" w:line="360" w:lineRule="auto"/>
        <w:jc w:val="both"/>
        <w:rPr>
          <w:lang w:val="en-GB"/>
        </w:rPr>
      </w:pPr>
      <w:r>
        <w:rPr>
          <w:lang w:val="en-GB"/>
        </w:rPr>
        <w:t>The</w:t>
      </w:r>
      <w:r w:rsidR="0002731B">
        <w:rPr>
          <w:lang w:val="en-GB"/>
        </w:rPr>
        <w:t xml:space="preserve"> goal of the</w:t>
      </w:r>
      <w:r>
        <w:rPr>
          <w:lang w:val="en-GB"/>
        </w:rPr>
        <w:t xml:space="preserve"> third</w:t>
      </w:r>
      <w:r w:rsidR="0002731B">
        <w:rPr>
          <w:lang w:val="en-GB"/>
        </w:rPr>
        <w:t xml:space="preserve"> part</w:t>
      </w:r>
      <w:r>
        <w:rPr>
          <w:lang w:val="en-GB"/>
        </w:rPr>
        <w:t xml:space="preserve"> was to </w:t>
      </w:r>
      <w:r w:rsidR="0002731B">
        <w:rPr>
          <w:lang w:val="en-GB"/>
        </w:rPr>
        <w:t>assess</w:t>
      </w:r>
      <w:r>
        <w:rPr>
          <w:lang w:val="en-GB"/>
        </w:rPr>
        <w:t xml:space="preserve"> the impact of </w:t>
      </w:r>
      <w:r w:rsidR="0002731B">
        <w:rPr>
          <w:lang w:val="en-GB"/>
        </w:rPr>
        <w:t xml:space="preserve">CA and L </w:t>
      </w:r>
      <w:r>
        <w:rPr>
          <w:lang w:val="en-GB"/>
        </w:rPr>
        <w:t xml:space="preserve">on </w:t>
      </w:r>
      <w:r w:rsidR="00F93E90">
        <w:rPr>
          <w:lang w:val="en-GB"/>
        </w:rPr>
        <w:t>body composition,</w:t>
      </w:r>
      <w:r w:rsidR="002A2AEB">
        <w:rPr>
          <w:lang w:val="en-GB"/>
        </w:rPr>
        <w:t xml:space="preserve"> </w:t>
      </w:r>
      <w:r>
        <w:rPr>
          <w:lang w:val="en-GB"/>
        </w:rPr>
        <w:t xml:space="preserve">bone </w:t>
      </w:r>
      <w:r w:rsidR="00095847">
        <w:rPr>
          <w:lang w:val="en-GB"/>
        </w:rPr>
        <w:t>mass accrual</w:t>
      </w:r>
      <w:r w:rsidR="00F93E90" w:rsidRPr="00F93E90">
        <w:rPr>
          <w:lang w:val="en-GB"/>
        </w:rPr>
        <w:t xml:space="preserve"> </w:t>
      </w:r>
      <w:r w:rsidR="00F93E90">
        <w:rPr>
          <w:lang w:val="en-GB"/>
        </w:rPr>
        <w:t xml:space="preserve">and </w:t>
      </w:r>
      <w:r w:rsidR="00E20B30">
        <w:rPr>
          <w:lang w:val="en-GB"/>
        </w:rPr>
        <w:t>grip</w:t>
      </w:r>
      <w:r w:rsidR="00F93E90">
        <w:rPr>
          <w:lang w:val="en-GB"/>
        </w:rPr>
        <w:t xml:space="preserve"> strength</w:t>
      </w:r>
      <w:r>
        <w:rPr>
          <w:lang w:val="en-GB"/>
        </w:rPr>
        <w:t>.</w:t>
      </w:r>
    </w:p>
    <w:p w14:paraId="492A7449" w14:textId="77777777" w:rsidR="004E7AA2" w:rsidRDefault="000B6D66" w:rsidP="008652D7">
      <w:pPr>
        <w:spacing w:after="0" w:line="360" w:lineRule="auto"/>
        <w:jc w:val="both"/>
        <w:rPr>
          <w:lang w:val="en-GB"/>
        </w:rPr>
      </w:pPr>
      <w:r>
        <w:rPr>
          <w:lang w:val="en-GB"/>
        </w:rPr>
        <w:t>The exact study design is listed in material and methods.</w:t>
      </w:r>
    </w:p>
    <w:p w14:paraId="7CBBE690" w14:textId="77777777" w:rsidR="0044205E" w:rsidRDefault="0044205E" w:rsidP="008652D7">
      <w:pPr>
        <w:spacing w:after="0" w:line="360" w:lineRule="auto"/>
        <w:jc w:val="both"/>
        <w:rPr>
          <w:lang w:val="en-GB"/>
        </w:rPr>
      </w:pPr>
    </w:p>
    <w:p w14:paraId="4F891E8B" w14:textId="72532290" w:rsidR="002A2AEB" w:rsidRPr="00D62C25" w:rsidRDefault="002A2AEB" w:rsidP="008652D7">
      <w:pPr>
        <w:spacing w:after="0" w:line="360" w:lineRule="auto"/>
        <w:jc w:val="both"/>
        <w:rPr>
          <w:lang w:val="en-GB"/>
        </w:rPr>
      </w:pPr>
      <w:r>
        <w:rPr>
          <w:lang w:val="en-GB"/>
        </w:rPr>
        <w:t>This study cont</w:t>
      </w:r>
      <w:r w:rsidR="00DE17C6">
        <w:rPr>
          <w:lang w:val="en-GB"/>
        </w:rPr>
        <w:t>ributes</w:t>
      </w:r>
      <w:r w:rsidR="0044205E">
        <w:rPr>
          <w:lang w:val="en-GB"/>
        </w:rPr>
        <w:t xml:space="preserve"> greatly to </w:t>
      </w:r>
      <w:r w:rsidR="00DE17C6">
        <w:rPr>
          <w:lang w:val="en-GB"/>
        </w:rPr>
        <w:t>the available knowledge o</w:t>
      </w:r>
      <w:r w:rsidR="00FE7B2E">
        <w:rPr>
          <w:lang w:val="en-GB"/>
        </w:rPr>
        <w:t>n the possibilities for</w:t>
      </w:r>
      <w:r w:rsidR="00DE17C6">
        <w:rPr>
          <w:lang w:val="en-GB"/>
        </w:rPr>
        <w:t xml:space="preserve"> treating </w:t>
      </w:r>
      <w:r w:rsidR="00FE7B2E">
        <w:rPr>
          <w:lang w:val="en-GB"/>
        </w:rPr>
        <w:t>transgender youth</w:t>
      </w:r>
      <w:r w:rsidR="0044205E">
        <w:rPr>
          <w:lang w:val="en-GB"/>
        </w:rPr>
        <w:t>. The reported effects of treatment c</w:t>
      </w:r>
      <w:r w:rsidR="00FE7B2E">
        <w:rPr>
          <w:lang w:val="en-GB"/>
        </w:rPr>
        <w:t>an serve as</w:t>
      </w:r>
      <w:r w:rsidR="0044205E">
        <w:rPr>
          <w:lang w:val="en-GB"/>
        </w:rPr>
        <w:t xml:space="preserve"> a guid</w:t>
      </w:r>
      <w:r w:rsidR="00A34C73">
        <w:rPr>
          <w:lang w:val="en-GB"/>
        </w:rPr>
        <w:t>ance for</w:t>
      </w:r>
      <w:r w:rsidR="0044205E">
        <w:rPr>
          <w:lang w:val="en-GB"/>
        </w:rPr>
        <w:t xml:space="preserve"> other clinicians </w:t>
      </w:r>
      <w:r w:rsidR="00A34C73">
        <w:rPr>
          <w:lang w:val="en-GB"/>
        </w:rPr>
        <w:t xml:space="preserve">who </w:t>
      </w:r>
      <w:r w:rsidR="0044205E">
        <w:rPr>
          <w:lang w:val="en-GB"/>
        </w:rPr>
        <w:t>want to implement therapy with progestins in their gender clinic</w:t>
      </w:r>
      <w:r w:rsidR="00A34C73">
        <w:rPr>
          <w:lang w:val="en-GB"/>
        </w:rPr>
        <w:t xml:space="preserve">. </w:t>
      </w:r>
      <w:r w:rsidR="00FE7B2E">
        <w:rPr>
          <w:lang w:val="en-GB"/>
        </w:rPr>
        <w:t>T</w:t>
      </w:r>
      <w:r w:rsidR="00A34C73">
        <w:rPr>
          <w:lang w:val="en-GB"/>
        </w:rPr>
        <w:t xml:space="preserve">his will </w:t>
      </w:r>
      <w:r w:rsidR="00FE7B2E">
        <w:rPr>
          <w:lang w:val="en-GB"/>
        </w:rPr>
        <w:t xml:space="preserve">eventually </w:t>
      </w:r>
      <w:r w:rsidR="00A34C73">
        <w:rPr>
          <w:lang w:val="en-GB"/>
        </w:rPr>
        <w:t>result in</w:t>
      </w:r>
      <w:r w:rsidR="0044205E">
        <w:rPr>
          <w:lang w:val="en-GB"/>
        </w:rPr>
        <w:t xml:space="preserve"> more clinical evidence </w:t>
      </w:r>
      <w:r w:rsidR="00A34C73">
        <w:rPr>
          <w:lang w:val="en-GB"/>
        </w:rPr>
        <w:t xml:space="preserve">about the safety and effectiveness </w:t>
      </w:r>
      <w:r w:rsidR="0044205E">
        <w:rPr>
          <w:lang w:val="en-GB"/>
        </w:rPr>
        <w:t xml:space="preserve">of </w:t>
      </w:r>
      <w:r w:rsidR="00A34C73">
        <w:rPr>
          <w:lang w:val="en-GB"/>
        </w:rPr>
        <w:t xml:space="preserve">this </w:t>
      </w:r>
      <w:r w:rsidR="0044205E">
        <w:rPr>
          <w:lang w:val="en-GB"/>
        </w:rPr>
        <w:t>treatment</w:t>
      </w:r>
      <w:r w:rsidR="00A34C73">
        <w:rPr>
          <w:lang w:val="en-GB"/>
        </w:rPr>
        <w:t xml:space="preserve">, which </w:t>
      </w:r>
      <w:r w:rsidR="00FE7B2E">
        <w:rPr>
          <w:lang w:val="en-GB"/>
        </w:rPr>
        <w:t xml:space="preserve">hopefully can contribute </w:t>
      </w:r>
      <w:r w:rsidR="00095847">
        <w:rPr>
          <w:lang w:val="en-GB"/>
        </w:rPr>
        <w:t xml:space="preserve">to reimbursement of </w:t>
      </w:r>
      <w:r w:rsidR="00FE7B2E">
        <w:rPr>
          <w:lang w:val="en-GB"/>
        </w:rPr>
        <w:t>endocrine treatment of transgender youth</w:t>
      </w:r>
      <w:r w:rsidR="00095847">
        <w:rPr>
          <w:lang w:val="en-GB"/>
        </w:rPr>
        <w:t>.</w:t>
      </w:r>
    </w:p>
    <w:p w14:paraId="5A659AA1" w14:textId="77777777" w:rsidR="000B6D66" w:rsidRDefault="000B6D66">
      <w:pPr>
        <w:rPr>
          <w:rFonts w:asciiTheme="majorHAnsi" w:eastAsiaTheme="majorEastAsia" w:hAnsiTheme="majorHAnsi" w:cstheme="majorBidi"/>
          <w:b/>
          <w:bCs/>
          <w:color w:val="4F81BD" w:themeColor="accent1"/>
          <w:sz w:val="26"/>
          <w:szCs w:val="26"/>
          <w:lang w:val="en-GB"/>
        </w:rPr>
      </w:pPr>
      <w:r>
        <w:rPr>
          <w:lang w:val="en-GB"/>
        </w:rPr>
        <w:br w:type="page"/>
      </w:r>
    </w:p>
    <w:p w14:paraId="06E9EE0E" w14:textId="66C05B05" w:rsidR="00B03E48" w:rsidRPr="00D4001A" w:rsidRDefault="00B03E48" w:rsidP="00C942CA">
      <w:pPr>
        <w:pStyle w:val="Kop1"/>
        <w:rPr>
          <w:lang w:val="en-GB"/>
        </w:rPr>
      </w:pPr>
      <w:bookmarkStart w:id="26" w:name="_Toc451961482"/>
      <w:r w:rsidRPr="00D4001A">
        <w:rPr>
          <w:lang w:val="en-GB"/>
        </w:rPr>
        <w:lastRenderedPageBreak/>
        <w:t>Material and methods</w:t>
      </w:r>
      <w:bookmarkEnd w:id="26"/>
      <w:r w:rsidRPr="00D4001A">
        <w:rPr>
          <w:lang w:val="en-GB"/>
        </w:rPr>
        <w:t xml:space="preserve"> </w:t>
      </w:r>
    </w:p>
    <w:p w14:paraId="57C47291" w14:textId="5A795CA5" w:rsidR="00F512C2" w:rsidRDefault="00280906" w:rsidP="00F512C2">
      <w:pPr>
        <w:pStyle w:val="Kop2"/>
        <w:rPr>
          <w:lang w:val="en-GB"/>
        </w:rPr>
      </w:pPr>
      <w:bookmarkStart w:id="27" w:name="_Toc451961483"/>
      <w:r>
        <w:rPr>
          <w:lang w:val="en-GB"/>
        </w:rPr>
        <w:t>General</w:t>
      </w:r>
      <w:bookmarkEnd w:id="27"/>
    </w:p>
    <w:p w14:paraId="7CE3F9EF" w14:textId="5454074B" w:rsidR="00280906" w:rsidRPr="00280906" w:rsidRDefault="00280906" w:rsidP="00280906">
      <w:pPr>
        <w:pStyle w:val="Kop3"/>
        <w:rPr>
          <w:lang w:val="en-GB"/>
        </w:rPr>
      </w:pPr>
      <w:bookmarkStart w:id="28" w:name="_Toc451961484"/>
      <w:r>
        <w:rPr>
          <w:lang w:val="en-GB"/>
        </w:rPr>
        <w:t>Ethics</w:t>
      </w:r>
      <w:bookmarkEnd w:id="28"/>
    </w:p>
    <w:p w14:paraId="60F0A9FE" w14:textId="77777777" w:rsidR="00BD16F5" w:rsidRDefault="00BD16F5" w:rsidP="00BD16F5">
      <w:pPr>
        <w:spacing w:after="0" w:line="360" w:lineRule="auto"/>
        <w:jc w:val="both"/>
        <w:rPr>
          <w:rFonts w:asciiTheme="majorHAnsi" w:hAnsiTheme="majorHAnsi"/>
          <w:sz w:val="20"/>
          <w:szCs w:val="20"/>
          <w:lang w:val="en-GB"/>
        </w:rPr>
      </w:pPr>
      <w:r>
        <w:rPr>
          <w:lang w:val="en-GB"/>
        </w:rPr>
        <w:t xml:space="preserve">Approval of the ethics committee of Ghent University hospital for the study was obtained (B670201525328). </w:t>
      </w:r>
    </w:p>
    <w:p w14:paraId="0BB66E96" w14:textId="15370D72" w:rsidR="00BD16F5" w:rsidRDefault="00BD16F5" w:rsidP="00BD16F5">
      <w:pPr>
        <w:spacing w:after="0" w:line="360" w:lineRule="auto"/>
        <w:jc w:val="both"/>
        <w:rPr>
          <w:lang w:val="en-GB"/>
        </w:rPr>
      </w:pPr>
      <w:r>
        <w:rPr>
          <w:lang w:val="en-GB"/>
        </w:rPr>
        <w:t>All individuals who had presented during adolescence with GD at the gender clinic of Ghent University Hospital, were contacted through an opting-out informed consent form sent via mail or regular post. The form explained the goals and design of the study and stated that if the adolescents or their legal guardians wished their data not be included in the study, they had to object via mail or letter. Only one FtM</w:t>
      </w:r>
      <w:r w:rsidR="007865B0">
        <w:rPr>
          <w:lang w:val="en-GB"/>
        </w:rPr>
        <w:t xml:space="preserve"> transgender</w:t>
      </w:r>
      <w:r>
        <w:rPr>
          <w:lang w:val="en-GB"/>
        </w:rPr>
        <w:t xml:space="preserve"> adolescent </w:t>
      </w:r>
      <w:r w:rsidR="00C24208">
        <w:rPr>
          <w:lang w:val="en-GB"/>
        </w:rPr>
        <w:t xml:space="preserve">objected. </w:t>
      </w:r>
    </w:p>
    <w:p w14:paraId="550C14B4" w14:textId="49B01934" w:rsidR="003745B4" w:rsidRDefault="003745B4" w:rsidP="00280906">
      <w:pPr>
        <w:pStyle w:val="Kop3"/>
        <w:rPr>
          <w:lang w:val="en-GB"/>
        </w:rPr>
      </w:pPr>
      <w:bookmarkStart w:id="29" w:name="_Toc451961485"/>
      <w:r>
        <w:rPr>
          <w:lang w:val="en-GB"/>
        </w:rPr>
        <w:t>Diagnosis</w:t>
      </w:r>
      <w:bookmarkEnd w:id="29"/>
    </w:p>
    <w:p w14:paraId="03C3C69F" w14:textId="080A7D8A" w:rsidR="003745B4" w:rsidRPr="003745B4" w:rsidRDefault="003745B4" w:rsidP="008652D7">
      <w:pPr>
        <w:spacing w:after="0" w:line="360" w:lineRule="auto"/>
        <w:jc w:val="both"/>
        <w:rPr>
          <w:lang w:val="en-GB"/>
        </w:rPr>
      </w:pPr>
      <w:r>
        <w:rPr>
          <w:lang w:val="en-GB"/>
        </w:rPr>
        <w:t>The diagnosis of GD was made by a child psychologist and child psychiatrist</w:t>
      </w:r>
      <w:r w:rsidR="00073260">
        <w:rPr>
          <w:lang w:val="en-GB"/>
        </w:rPr>
        <w:t xml:space="preserve"> and was based on the diagnostic criteria descr</w:t>
      </w:r>
      <w:r w:rsidR="00BD16F5">
        <w:rPr>
          <w:lang w:val="en-GB"/>
        </w:rPr>
        <w:t>ibed in the DSM-IV and</w:t>
      </w:r>
      <w:r w:rsidR="00073260">
        <w:rPr>
          <w:lang w:val="en-GB"/>
        </w:rPr>
        <w:t xml:space="preserve"> the International Classification of Diseases (ICD-10)</w:t>
      </w:r>
      <w:r w:rsidR="00073260" w:rsidRPr="00073260">
        <w:rPr>
          <w:lang w:val="en-GB"/>
        </w:rPr>
        <w:t xml:space="preserve"> </w:t>
      </w:r>
      <w:r w:rsidR="00073260">
        <w:rPr>
          <w:lang w:val="en-GB"/>
        </w:rPr>
        <w:t>manual</w:t>
      </w:r>
      <w:r w:rsidR="008652D7">
        <w:rPr>
          <w:lang w:val="en-GB"/>
        </w:rPr>
        <w:t xml:space="preserve"> </w:t>
      </w:r>
      <w:r w:rsidR="008652D7">
        <w:rPr>
          <w:lang w:val="en-GB"/>
        </w:rPr>
        <w:fldChar w:fldCharType="begin" w:fldLock="1"/>
      </w:r>
      <w:r w:rsidR="002C52CA">
        <w:rPr>
          <w:lang w:val="en-GB"/>
        </w:rPr>
        <w:instrText>ADDIN CSL_CITATION { "citationItems" : [ { "id" : "ITEM-1", "itemData" : { "author" : [ { "dropping-particle" : "", "family" : "Cools", "given" : "Martine", "non-dropping-particle" : "", "parse-names" : false, "suffix" : "" }, { "dropping-particle" : "", "family" : "Craen", "given" : "Margarita", "non-dropping-particle" : "", "parse-names" : false, "suffix" : "" }, { "dropping-particle" : "", "family" : "T'Sjoen", "given" : "Guy", "non-dropping-particle" : "", "parse-names" : false, "suffix" : "" } ], "container-title" : "Tijdschrift van de Belgische Kinderarts", "id" : "ITEM-1", "issue" : "1", "issued" : { "date-parts" : [ [ "2010" ] ] }, "page" : "28-33", "title" : "The endocrine treatment of transsexual adolescents", "type" : "article-journal", "volume" : "12" }, "uris" : [ "http://www.mendeley.com/documents/?uuid=67bcf829-77ac-4e57-bc10-54d29b8977cf" ] } ], "mendeley" : { "formattedCitation" : "(51)", "plainTextFormattedCitation" : "(51)", "previouslyFormattedCitation" : "(51)" }, "properties" : { "noteIndex" : 0 }, "schema" : "https://github.com/citation-style-language/schema/raw/master/csl-citation.json" }</w:instrText>
      </w:r>
      <w:r w:rsidR="008652D7">
        <w:rPr>
          <w:lang w:val="en-GB"/>
        </w:rPr>
        <w:fldChar w:fldCharType="separate"/>
      </w:r>
      <w:r w:rsidR="00C7364E" w:rsidRPr="00C7364E">
        <w:rPr>
          <w:noProof/>
          <w:lang w:val="en-GB"/>
        </w:rPr>
        <w:t>(51)</w:t>
      </w:r>
      <w:r w:rsidR="008652D7">
        <w:rPr>
          <w:lang w:val="en-GB"/>
        </w:rPr>
        <w:fldChar w:fldCharType="end"/>
      </w:r>
      <w:r>
        <w:rPr>
          <w:lang w:val="en-GB"/>
        </w:rPr>
        <w:t xml:space="preserve">. The decision to start medical treatment was made by </w:t>
      </w:r>
      <w:r w:rsidR="00BD16F5">
        <w:rPr>
          <w:lang w:val="en-GB"/>
        </w:rPr>
        <w:t>the</w:t>
      </w:r>
      <w:r>
        <w:rPr>
          <w:lang w:val="en-GB"/>
        </w:rPr>
        <w:t xml:space="preserve"> multidisciplinary</w:t>
      </w:r>
      <w:r w:rsidR="00BD16F5">
        <w:rPr>
          <w:lang w:val="en-GB"/>
        </w:rPr>
        <w:t xml:space="preserve"> child gender</w:t>
      </w:r>
      <w:r>
        <w:rPr>
          <w:lang w:val="en-GB"/>
        </w:rPr>
        <w:t xml:space="preserve"> team</w:t>
      </w:r>
      <w:r w:rsidR="00BD16F5">
        <w:rPr>
          <w:lang w:val="en-GB"/>
        </w:rPr>
        <w:t xml:space="preserve"> of Ghent University Hospital</w:t>
      </w:r>
      <w:r>
        <w:rPr>
          <w:lang w:val="en-GB"/>
        </w:rPr>
        <w:t>.</w:t>
      </w:r>
    </w:p>
    <w:p w14:paraId="575E4136" w14:textId="602042FE" w:rsidR="00C7440F" w:rsidRPr="00C7440F" w:rsidRDefault="00C7440F" w:rsidP="00C942CA">
      <w:pPr>
        <w:pStyle w:val="Kop2"/>
        <w:rPr>
          <w:lang w:val="en-GB"/>
        </w:rPr>
      </w:pPr>
      <w:bookmarkStart w:id="30" w:name="_Toc451961486"/>
      <w:r w:rsidRPr="00C7440F">
        <w:rPr>
          <w:lang w:val="en-GB"/>
        </w:rPr>
        <w:t>Part one</w:t>
      </w:r>
      <w:r w:rsidR="00D63C5A">
        <w:rPr>
          <w:lang w:val="en-GB"/>
        </w:rPr>
        <w:t xml:space="preserve"> and two</w:t>
      </w:r>
      <w:bookmarkEnd w:id="30"/>
    </w:p>
    <w:p w14:paraId="55F8A250" w14:textId="0053A7A1" w:rsidR="000B48EC" w:rsidRPr="00B16C55" w:rsidRDefault="008D430A" w:rsidP="00C942CA">
      <w:pPr>
        <w:pStyle w:val="Kop3"/>
        <w:rPr>
          <w:lang w:val="en-GB"/>
        </w:rPr>
      </w:pPr>
      <w:bookmarkStart w:id="31" w:name="_Toc451961487"/>
      <w:r>
        <w:rPr>
          <w:lang w:val="en-GB"/>
        </w:rPr>
        <w:t>FtM</w:t>
      </w:r>
      <w:r w:rsidR="00424D5F">
        <w:rPr>
          <w:lang w:val="en-GB"/>
        </w:rPr>
        <w:t xml:space="preserve"> trans</w:t>
      </w:r>
      <w:r w:rsidR="00493539">
        <w:rPr>
          <w:lang w:val="en-GB"/>
        </w:rPr>
        <w:t>gender</w:t>
      </w:r>
      <w:r w:rsidR="00424D5F">
        <w:rPr>
          <w:lang w:val="en-GB"/>
        </w:rPr>
        <w:t xml:space="preserve"> adolescents: patients</w:t>
      </w:r>
      <w:bookmarkEnd w:id="31"/>
    </w:p>
    <w:p w14:paraId="3E77ADE8" w14:textId="6D8B8D84" w:rsidR="000B48EC" w:rsidRDefault="000B48EC" w:rsidP="00204E3F">
      <w:pPr>
        <w:spacing w:after="0" w:line="360" w:lineRule="auto"/>
        <w:jc w:val="both"/>
        <w:rPr>
          <w:lang w:val="en-GB"/>
        </w:rPr>
      </w:pPr>
      <w:r>
        <w:rPr>
          <w:lang w:val="en-GB"/>
        </w:rPr>
        <w:t xml:space="preserve">Data on 45 FtM </w:t>
      </w:r>
      <w:r w:rsidR="00424D5F">
        <w:rPr>
          <w:lang w:val="en-GB"/>
        </w:rPr>
        <w:t>trans</w:t>
      </w:r>
      <w:r w:rsidR="00493539">
        <w:rPr>
          <w:lang w:val="en-GB"/>
        </w:rPr>
        <w:t>gender</w:t>
      </w:r>
      <w:r w:rsidR="00424D5F">
        <w:rPr>
          <w:lang w:val="en-GB"/>
        </w:rPr>
        <w:t xml:space="preserve"> </w:t>
      </w:r>
      <w:r>
        <w:rPr>
          <w:lang w:val="en-GB"/>
        </w:rPr>
        <w:t>adolescents who</w:t>
      </w:r>
      <w:r w:rsidR="00BD16F5">
        <w:rPr>
          <w:lang w:val="en-GB"/>
        </w:rPr>
        <w:t xml:space="preserve"> had</w:t>
      </w:r>
      <w:r>
        <w:rPr>
          <w:lang w:val="en-GB"/>
        </w:rPr>
        <w:t xml:space="preserve"> received hormonal treatment </w:t>
      </w:r>
      <w:r w:rsidR="00121833">
        <w:rPr>
          <w:lang w:val="en-GB"/>
        </w:rPr>
        <w:t xml:space="preserve">for </w:t>
      </w:r>
      <w:r>
        <w:rPr>
          <w:lang w:val="en-GB"/>
        </w:rPr>
        <w:t xml:space="preserve">a period of at least six months from 2010 until September 2015 were available; two adolescents were excluded: one had committed suicide during the follow-up period and the family was not contacted to obtain informed </w:t>
      </w:r>
      <w:r w:rsidR="00424D5F">
        <w:rPr>
          <w:lang w:val="en-GB"/>
        </w:rPr>
        <w:t>consent</w:t>
      </w:r>
      <w:r>
        <w:rPr>
          <w:lang w:val="en-GB"/>
        </w:rPr>
        <w:t xml:space="preserve"> and one did not consent in use of his data for the study. In five of the remaining 43 cases, insufficient laboratory data were available, therefore only </w:t>
      </w:r>
      <w:r w:rsidR="00121833">
        <w:rPr>
          <w:lang w:val="en-GB"/>
        </w:rPr>
        <w:t>anthropometric</w:t>
      </w:r>
      <w:r>
        <w:rPr>
          <w:lang w:val="en-GB"/>
        </w:rPr>
        <w:t xml:space="preserve"> data were included. In some of the remaining 38, due to the retrospective nature of the study and occasional sample loss, not all parameters were</w:t>
      </w:r>
      <w:r w:rsidR="00C24208">
        <w:rPr>
          <w:lang w:val="en-GB"/>
        </w:rPr>
        <w:t xml:space="preserve"> available at each time point. </w:t>
      </w:r>
    </w:p>
    <w:p w14:paraId="03C1719F" w14:textId="07A36BA9" w:rsidR="008D430A" w:rsidRDefault="000B48EC" w:rsidP="00204E3F">
      <w:pPr>
        <w:spacing w:after="0" w:line="360" w:lineRule="auto"/>
        <w:jc w:val="both"/>
        <w:rPr>
          <w:lang w:val="en-GB"/>
        </w:rPr>
      </w:pPr>
      <w:r>
        <w:rPr>
          <w:lang w:val="en-GB"/>
        </w:rPr>
        <w:t xml:space="preserve">L monotherapy </w:t>
      </w:r>
      <w:r w:rsidR="00BD16F5">
        <w:rPr>
          <w:lang w:val="en-GB"/>
        </w:rPr>
        <w:t xml:space="preserve">was administered </w:t>
      </w:r>
      <w:r>
        <w:rPr>
          <w:lang w:val="en-GB"/>
        </w:rPr>
        <w:t>for at least six months in all included participants followed by combination therapy of L and TE (L+T</w:t>
      </w:r>
      <w:r w:rsidR="006E34C2">
        <w:rPr>
          <w:lang w:val="en-GB"/>
        </w:rPr>
        <w:t>E</w:t>
      </w:r>
      <w:r>
        <w:rPr>
          <w:lang w:val="en-GB"/>
        </w:rPr>
        <w:t>) in a subset of them (n=25) for at least 6 months. The others were too young to be eligible for CSH therapy</w:t>
      </w:r>
      <w:r w:rsidR="00E6587A">
        <w:rPr>
          <w:lang w:val="en-GB"/>
        </w:rPr>
        <w:t xml:space="preserve"> at the time of data analysis.</w:t>
      </w:r>
      <w:r w:rsidR="00C15812">
        <w:rPr>
          <w:lang w:val="en-GB"/>
        </w:rPr>
        <w:t xml:space="preserve"> Summary of included </w:t>
      </w:r>
      <w:r w:rsidR="00204E3F">
        <w:rPr>
          <w:lang w:val="en-GB"/>
        </w:rPr>
        <w:t>adolescent</w:t>
      </w:r>
      <w:r w:rsidR="00C15812">
        <w:rPr>
          <w:lang w:val="en-GB"/>
        </w:rPr>
        <w:t xml:space="preserve">s is represented in </w:t>
      </w:r>
      <w:r w:rsidR="00FA655E">
        <w:rPr>
          <w:lang w:val="en-GB"/>
        </w:rPr>
        <w:t>Figure</w:t>
      </w:r>
      <w:r w:rsidR="00C15812">
        <w:rPr>
          <w:lang w:val="en-GB"/>
        </w:rPr>
        <w:t xml:space="preserve"> 2.</w:t>
      </w:r>
      <w:r w:rsidR="00E6587A">
        <w:rPr>
          <w:lang w:val="en-GB"/>
        </w:rPr>
        <w:t xml:space="preserve"> </w:t>
      </w:r>
      <w:r w:rsidRPr="008B7EE6">
        <w:rPr>
          <w:lang w:val="en-GB"/>
        </w:rPr>
        <w:t xml:space="preserve">Criteria to start </w:t>
      </w:r>
      <w:r>
        <w:rPr>
          <w:lang w:val="en-GB"/>
        </w:rPr>
        <w:t>CSH</w:t>
      </w:r>
      <w:r w:rsidRPr="008B7EE6">
        <w:rPr>
          <w:lang w:val="en-GB"/>
        </w:rPr>
        <w:t xml:space="preserve"> therapy were based on the Endocrine Society guidelines</w:t>
      </w:r>
      <w:r w:rsidRPr="00424984">
        <w:rPr>
          <w:lang w:val="en-GB"/>
        </w:rPr>
        <w:t xml:space="preserve"> </w:t>
      </w:r>
      <w:r w:rsidR="007A3EDC">
        <w:rPr>
          <w:lang w:val="en-GB"/>
        </w:rPr>
        <w:fldChar w:fldCharType="begin" w:fldLock="1"/>
      </w:r>
      <w:r w:rsidR="00C7364E">
        <w:rPr>
          <w:lang w:val="en-GB"/>
        </w:rPr>
        <w:instrText>ADDIN CSL_CITATION { "citationItems" : [ { "id" : "ITEM-1", "itemData" : { "DOI" : "10.1210/jc.2009-0345", "ISBN" : "0021-972X", "ISSN" : "0021-972X", "PMID" : "19509099", "abstract" : "OBJECTIVE: The aim was to formulate practice guidelines for endocrine treatment of transsexual persons. EVIDENCE: This evidence-based guideline was developed using the Grading of Recommendations, Assessment, Development, and Evaluation (GRADE) system to describe the strength of recommendations and the quality of evidence, which was low or very low. CONSENSUS PROCESS: Committees and members of The Endocrine Society, European Society of Endocrinology, European Society for Paediatric Endocrinology, Lawson Wilkins Pediatric Endocrine Society, and World Professional Association for Transgender Health commented on preliminary drafts of these guidelines. CONCLUSIONS: Transsexual persons seeking to develop the physical characteristics of the desired gender require a safe, effective hormone regimen that will 1) suppress endogenous hormone secretion determined by the person's genetic/biologic sex and 2) maintain sex hormone levels within the normal range for the person's desired gender. A mental health professional (MHP) must recommend endocrine treatment and participate in ongoing care throughout the endocrine transition and decision for surgical sex reassignment. The endocrinologist must confirm the diagnostic criteria the MHP used to make these recommendations. Because a diagnosis of transsexualism in a prepubertal child cannot be made with certainty, we do not recommend endocrine treatment of prepubertal children. We recommend treating transsexual adolescents (Tanner stage 2) by suppressing puberty with GnRH analogues until age 16 years old, after which cross-sex hormones may be given. We suggest suppressing endogenous sex hormones, maintaining physiologic levels of gender-appropriate sex hormones and monitoring for known risks in adult transsexual persons.", "author" : [ { "dropping-particle" : "", "family" : "Hembree", "given" : "Wylie C.", "non-dropping-particle" : "", "parse-names" : false, "suffix" : "" }, { "dropping-particle" : "", "family" : "Cohen-Kettenis", "given" : "Peggy", "non-dropping-particle" : "", "parse-names" : false, "suffix" : "" }, { "dropping-particle" : "", "family" : "Delemarre-Van De Waal", "given" : "Henriette A.", "non-dropping-particle" : "", "parse-names" : false, "suffix" : "" }, { "dropping-particle" : "", "family" : "Gooren", "given" : "Louis J.", "non-dropping-particle" : "", "parse-names" : false, "suffix" : "" }, { "dropping-particle" : "", "family" : "Meyer", "given" : "Walter J.", "non-dropping-particle" : "", "parse-names" : false, "suffix" : "" }, { "dropping-particle" : "", "family" : "Spack", "given" : "Norman P.", "non-dropping-particle" : "", "parse-names" : false, "suffix" : "" }, { "dropping-particle" : "", "family" : "Tangpricha", "given" : "Vin", "non-dropping-particle" : "", "parse-names" : false, "suffix" : "" }, { "dropping-particle" : "", "family" : "Montori", "given" : "Victor M.", "non-dropping-particle" : "", "parse-names" : false, "suffix" : "" } ], "container-title" : "The Journal of Clinical Endocrinology &amp; Metabolism", "id" : "ITEM-1", "issue" : "9", "issued" : { "date-parts" : [ [ "2009" ] ] }, "page" : "3132-3154", "title" : "Endocrine Treatment of Transsexual Persons:An Endocrine Society Clinical Practice Guideline", "type" : "article-journal", "volume" : "94" }, "uris" : [ "http://www.mendeley.com/documents/?uuid=bc5b1f05-c32d-4690-b85f-4556414dcb0d" ] } ], "mendeley" : { "formattedCitation" : "(9)", "plainTextFormattedCitation" : "(9)", "previouslyFormattedCitation" : "(9)" }, "properties" : { "noteIndex" : 0 }, "schema" : "https://github.com/citation-style-language/schema/raw/master/csl-citation.json" }</w:instrText>
      </w:r>
      <w:r w:rsidR="007A3EDC">
        <w:rPr>
          <w:lang w:val="en-GB"/>
        </w:rPr>
        <w:fldChar w:fldCharType="separate"/>
      </w:r>
      <w:r w:rsidR="001E1DDB" w:rsidRPr="001E1DDB">
        <w:rPr>
          <w:noProof/>
          <w:lang w:val="en-GB"/>
        </w:rPr>
        <w:t>(9)</w:t>
      </w:r>
      <w:r w:rsidR="007A3EDC">
        <w:rPr>
          <w:lang w:val="en-GB"/>
        </w:rPr>
        <w:fldChar w:fldCharType="end"/>
      </w:r>
      <w:r w:rsidRPr="00424984">
        <w:rPr>
          <w:lang w:val="en-GB"/>
        </w:rPr>
        <w:t>.</w:t>
      </w:r>
      <w:r w:rsidRPr="004D1242">
        <w:rPr>
          <w:lang w:val="en-GB"/>
        </w:rPr>
        <w:t xml:space="preserve"> </w:t>
      </w:r>
      <w:r w:rsidR="00424D5F">
        <w:rPr>
          <w:lang w:val="en-GB"/>
        </w:rPr>
        <w:t>All a</w:t>
      </w:r>
      <w:r>
        <w:rPr>
          <w:lang w:val="en-GB"/>
        </w:rPr>
        <w:t xml:space="preserve">dolescents </w:t>
      </w:r>
      <w:r w:rsidRPr="004D1242">
        <w:rPr>
          <w:lang w:val="en-GB"/>
        </w:rPr>
        <w:t>were advised to</w:t>
      </w:r>
      <w:r>
        <w:rPr>
          <w:lang w:val="en-GB"/>
        </w:rPr>
        <w:t xml:space="preserve"> take vitamin D supplementation and a calcium </w:t>
      </w:r>
      <w:r w:rsidR="00484862">
        <w:rPr>
          <w:lang w:val="en-GB"/>
        </w:rPr>
        <w:t>enriched diet during treatment.</w:t>
      </w:r>
    </w:p>
    <w:p w14:paraId="2F30A001" w14:textId="6DA6B220" w:rsidR="008D430A" w:rsidRPr="008D430A" w:rsidRDefault="008D430A" w:rsidP="00C942CA">
      <w:pPr>
        <w:pStyle w:val="Kop3"/>
        <w:rPr>
          <w:lang w:val="en-GB"/>
        </w:rPr>
      </w:pPr>
      <w:bookmarkStart w:id="32" w:name="_Toc451961488"/>
      <w:r w:rsidRPr="008D430A">
        <w:rPr>
          <w:lang w:val="en-GB"/>
        </w:rPr>
        <w:t>MtF</w:t>
      </w:r>
      <w:r w:rsidR="00DA5D7C">
        <w:rPr>
          <w:lang w:val="en-GB"/>
        </w:rPr>
        <w:t xml:space="preserve"> trans</w:t>
      </w:r>
      <w:r w:rsidR="00493539">
        <w:rPr>
          <w:lang w:val="en-GB"/>
        </w:rPr>
        <w:t>gender</w:t>
      </w:r>
      <w:r w:rsidR="00DA5D7C">
        <w:rPr>
          <w:lang w:val="en-GB"/>
        </w:rPr>
        <w:t xml:space="preserve"> adolescents: patients</w:t>
      </w:r>
      <w:bookmarkEnd w:id="32"/>
    </w:p>
    <w:p w14:paraId="77770586" w14:textId="30C2198A" w:rsidR="00C7440F" w:rsidRDefault="000A1A6E" w:rsidP="00204E3F">
      <w:pPr>
        <w:spacing w:after="0" w:line="360" w:lineRule="auto"/>
        <w:jc w:val="both"/>
        <w:rPr>
          <w:lang w:val="en-GB"/>
        </w:rPr>
      </w:pPr>
      <w:r>
        <w:rPr>
          <w:lang w:val="en-GB"/>
        </w:rPr>
        <w:t xml:space="preserve">Data on </w:t>
      </w:r>
      <w:r w:rsidR="0004654F">
        <w:rPr>
          <w:lang w:val="en-GB"/>
        </w:rPr>
        <w:t xml:space="preserve">27 </w:t>
      </w:r>
      <w:r w:rsidR="00BD16F5">
        <w:rPr>
          <w:lang w:val="en-GB"/>
        </w:rPr>
        <w:t>transgender</w:t>
      </w:r>
      <w:r w:rsidR="0004654F">
        <w:rPr>
          <w:lang w:val="en-GB"/>
        </w:rPr>
        <w:t xml:space="preserve"> adolescents were available</w:t>
      </w:r>
      <w:r w:rsidR="00BD16F5">
        <w:rPr>
          <w:lang w:val="en-GB"/>
        </w:rPr>
        <w:t>; they</w:t>
      </w:r>
      <w:r w:rsidR="0004654F">
        <w:rPr>
          <w:lang w:val="en-GB"/>
        </w:rPr>
        <w:t xml:space="preserve"> received hormonal treatment over a period of at least six months</w:t>
      </w:r>
      <w:r w:rsidR="00121833">
        <w:rPr>
          <w:lang w:val="en-GB"/>
        </w:rPr>
        <w:t>,</w:t>
      </w:r>
      <w:r w:rsidR="0004654F">
        <w:rPr>
          <w:lang w:val="en-GB"/>
        </w:rPr>
        <w:t xml:space="preserve"> from 2008 until March 2016.</w:t>
      </w:r>
    </w:p>
    <w:p w14:paraId="2C1BEA9B" w14:textId="34A29054" w:rsidR="0085610E" w:rsidRDefault="0085610E" w:rsidP="00204E3F">
      <w:pPr>
        <w:spacing w:after="0" w:line="360" w:lineRule="auto"/>
        <w:jc w:val="both"/>
        <w:rPr>
          <w:lang w:val="en-GB"/>
        </w:rPr>
      </w:pPr>
      <w:r>
        <w:rPr>
          <w:lang w:val="en-GB"/>
        </w:rPr>
        <w:lastRenderedPageBreak/>
        <w:t xml:space="preserve">In </w:t>
      </w:r>
      <w:r w:rsidR="00A27634">
        <w:rPr>
          <w:lang w:val="en-GB"/>
        </w:rPr>
        <w:t>two</w:t>
      </w:r>
      <w:r w:rsidR="001B7FFD">
        <w:rPr>
          <w:lang w:val="en-GB"/>
        </w:rPr>
        <w:t xml:space="preserve"> </w:t>
      </w:r>
      <w:r>
        <w:rPr>
          <w:lang w:val="en-GB"/>
        </w:rPr>
        <w:t xml:space="preserve">of the 27 cases, insufficient laboratory data were available, therefore only </w:t>
      </w:r>
      <w:r w:rsidR="00121833">
        <w:rPr>
          <w:lang w:val="en-GB"/>
        </w:rPr>
        <w:t>anthropometric</w:t>
      </w:r>
      <w:r>
        <w:rPr>
          <w:lang w:val="en-GB"/>
        </w:rPr>
        <w:t xml:space="preserve"> data were included. </w:t>
      </w:r>
      <w:r w:rsidR="006C13F9">
        <w:rPr>
          <w:lang w:val="en-GB"/>
        </w:rPr>
        <w:t>In o</w:t>
      </w:r>
      <w:r w:rsidR="00F229CC">
        <w:rPr>
          <w:lang w:val="en-GB"/>
        </w:rPr>
        <w:t xml:space="preserve">ne patient </w:t>
      </w:r>
      <w:r w:rsidR="006C13F9">
        <w:rPr>
          <w:lang w:val="en-GB"/>
        </w:rPr>
        <w:t xml:space="preserve">only data </w:t>
      </w:r>
      <w:r w:rsidR="00FF7325">
        <w:rPr>
          <w:lang w:val="en-GB"/>
        </w:rPr>
        <w:t xml:space="preserve">of CA monotherapy </w:t>
      </w:r>
      <w:r w:rsidR="00121833">
        <w:rPr>
          <w:lang w:val="en-GB"/>
        </w:rPr>
        <w:t xml:space="preserve">were </w:t>
      </w:r>
      <w:r w:rsidR="00FF7325">
        <w:rPr>
          <w:lang w:val="en-GB"/>
        </w:rPr>
        <w:t xml:space="preserve">available, </w:t>
      </w:r>
      <w:r w:rsidR="00121833">
        <w:rPr>
          <w:lang w:val="en-GB"/>
        </w:rPr>
        <w:t>this</w:t>
      </w:r>
      <w:r w:rsidR="00F229CC">
        <w:rPr>
          <w:lang w:val="en-GB"/>
        </w:rPr>
        <w:t xml:space="preserve"> treatment </w:t>
      </w:r>
      <w:r w:rsidR="00121833">
        <w:rPr>
          <w:lang w:val="en-GB"/>
        </w:rPr>
        <w:t xml:space="preserve">was interrupted </w:t>
      </w:r>
      <w:r w:rsidR="00F229CC">
        <w:rPr>
          <w:lang w:val="en-GB"/>
        </w:rPr>
        <w:t xml:space="preserve">after one year because </w:t>
      </w:r>
      <w:r w:rsidR="0081786C">
        <w:rPr>
          <w:lang w:val="en-GB"/>
        </w:rPr>
        <w:t>the patient</w:t>
      </w:r>
      <w:r w:rsidR="00F229CC">
        <w:rPr>
          <w:lang w:val="en-GB"/>
        </w:rPr>
        <w:t xml:space="preserve"> did not want to pursue sex reassignment anymore. </w:t>
      </w:r>
      <w:r>
        <w:rPr>
          <w:lang w:val="en-GB"/>
        </w:rPr>
        <w:t xml:space="preserve">In some of the remaining </w:t>
      </w:r>
      <w:r w:rsidR="001B7FFD">
        <w:rPr>
          <w:lang w:val="en-GB"/>
        </w:rPr>
        <w:t>2</w:t>
      </w:r>
      <w:r w:rsidR="00A27634">
        <w:rPr>
          <w:lang w:val="en-GB"/>
        </w:rPr>
        <w:t>5</w:t>
      </w:r>
      <w:r>
        <w:rPr>
          <w:lang w:val="en-GB"/>
        </w:rPr>
        <w:t>, due to the retrospective nature of the study and occasional sample loss, not all parameters were available at each time point.</w:t>
      </w:r>
      <w:r w:rsidR="00C24208">
        <w:rPr>
          <w:lang w:val="en-GB"/>
        </w:rPr>
        <w:t xml:space="preserve"> </w:t>
      </w:r>
    </w:p>
    <w:p w14:paraId="1B97A826" w14:textId="3A46FAD1" w:rsidR="00460845" w:rsidRDefault="001B7FFD" w:rsidP="00204E3F">
      <w:pPr>
        <w:spacing w:after="0" w:line="360" w:lineRule="auto"/>
        <w:jc w:val="both"/>
        <w:rPr>
          <w:lang w:val="en-GB"/>
        </w:rPr>
      </w:pPr>
      <w:r>
        <w:rPr>
          <w:lang w:val="en-GB"/>
        </w:rPr>
        <w:t>Treatment consisted of CA</w:t>
      </w:r>
      <w:r w:rsidR="0085610E">
        <w:rPr>
          <w:lang w:val="en-GB"/>
        </w:rPr>
        <w:t xml:space="preserve"> monotherapy for at least six months in all included participants followed by combination</w:t>
      </w:r>
      <w:r>
        <w:rPr>
          <w:lang w:val="en-GB"/>
        </w:rPr>
        <w:t xml:space="preserve"> of CA and E</w:t>
      </w:r>
      <w:r w:rsidR="0085610E">
        <w:rPr>
          <w:lang w:val="en-GB"/>
        </w:rPr>
        <w:t xml:space="preserve"> (</w:t>
      </w:r>
      <w:r>
        <w:rPr>
          <w:lang w:val="en-GB"/>
        </w:rPr>
        <w:t>C</w:t>
      </w:r>
      <w:r w:rsidR="00121833">
        <w:rPr>
          <w:lang w:val="en-GB"/>
        </w:rPr>
        <w:t>A</w:t>
      </w:r>
      <w:r w:rsidR="0085610E">
        <w:rPr>
          <w:lang w:val="en-GB"/>
        </w:rPr>
        <w:t>+</w:t>
      </w:r>
      <w:r>
        <w:rPr>
          <w:lang w:val="en-GB"/>
        </w:rPr>
        <w:t>E</w:t>
      </w:r>
      <w:r w:rsidR="0085610E">
        <w:rPr>
          <w:lang w:val="en-GB"/>
        </w:rPr>
        <w:t>) in a subset of them (</w:t>
      </w:r>
      <w:r w:rsidR="003D1728">
        <w:rPr>
          <w:lang w:val="en-GB"/>
        </w:rPr>
        <w:t>n=16</w:t>
      </w:r>
      <w:r w:rsidR="0085610E">
        <w:rPr>
          <w:lang w:val="en-GB"/>
        </w:rPr>
        <w:t>) for at least 6 months. The others were too young to be eligible for CSH therap</w:t>
      </w:r>
      <w:r w:rsidR="007103B4">
        <w:rPr>
          <w:lang w:val="en-GB"/>
        </w:rPr>
        <w:t>y at the time of data analysis.</w:t>
      </w:r>
      <w:r w:rsidR="0085610E">
        <w:rPr>
          <w:lang w:val="en-GB"/>
        </w:rPr>
        <w:t xml:space="preserve"> </w:t>
      </w:r>
      <w:r w:rsidR="00C15812">
        <w:rPr>
          <w:lang w:val="en-GB"/>
        </w:rPr>
        <w:t xml:space="preserve">Summary of included </w:t>
      </w:r>
      <w:r w:rsidR="00204E3F">
        <w:rPr>
          <w:lang w:val="en-GB"/>
        </w:rPr>
        <w:t>adolesc</w:t>
      </w:r>
      <w:r w:rsidR="00C15812">
        <w:rPr>
          <w:lang w:val="en-GB"/>
        </w:rPr>
        <w:t xml:space="preserve">ents </w:t>
      </w:r>
      <w:r w:rsidR="00624AB0">
        <w:rPr>
          <w:lang w:val="en-GB"/>
        </w:rPr>
        <w:t>is represented in Figure</w:t>
      </w:r>
      <w:r w:rsidR="00C15812">
        <w:rPr>
          <w:lang w:val="en-GB"/>
        </w:rPr>
        <w:t xml:space="preserve"> 2. </w:t>
      </w:r>
      <w:r w:rsidR="0085610E" w:rsidRPr="008B7EE6">
        <w:rPr>
          <w:lang w:val="en-GB"/>
        </w:rPr>
        <w:t xml:space="preserve">Criteria to start </w:t>
      </w:r>
      <w:r w:rsidR="0085610E">
        <w:rPr>
          <w:lang w:val="en-GB"/>
        </w:rPr>
        <w:t>CSH</w:t>
      </w:r>
      <w:r w:rsidR="0085610E" w:rsidRPr="008B7EE6">
        <w:rPr>
          <w:lang w:val="en-GB"/>
        </w:rPr>
        <w:t xml:space="preserve"> therapy were based on the Endocrine Society guidelines</w:t>
      </w:r>
      <w:r w:rsidR="0085610E" w:rsidRPr="00424984">
        <w:rPr>
          <w:lang w:val="en-GB"/>
        </w:rPr>
        <w:t xml:space="preserve"> </w:t>
      </w:r>
      <w:r w:rsidR="007A3EDC">
        <w:rPr>
          <w:lang w:val="en-GB"/>
        </w:rPr>
        <w:fldChar w:fldCharType="begin" w:fldLock="1"/>
      </w:r>
      <w:r w:rsidR="00C7364E">
        <w:rPr>
          <w:lang w:val="en-GB"/>
        </w:rPr>
        <w:instrText>ADDIN CSL_CITATION { "citationItems" : [ { "id" : "ITEM-1", "itemData" : { "DOI" : "10.1210/jc.2009-0345", "ISBN" : "0021-972X", "ISSN" : "0021-972X", "PMID" : "19509099", "abstract" : "OBJECTIVE: The aim was to formulate practice guidelines for endocrine treatment of transsexual persons. EVIDENCE: This evidence-based guideline was developed using the Grading of Recommendations, Assessment, Development, and Evaluation (GRADE) system to describe the strength of recommendations and the quality of evidence, which was low or very low. CONSENSUS PROCESS: Committees and members of The Endocrine Society, European Society of Endocrinology, European Society for Paediatric Endocrinology, Lawson Wilkins Pediatric Endocrine Society, and World Professional Association for Transgender Health commented on preliminary drafts of these guidelines. CONCLUSIONS: Transsexual persons seeking to develop the physical characteristics of the desired gender require a safe, effective hormone regimen that will 1) suppress endogenous hormone secretion determined by the person's genetic/biologic sex and 2) maintain sex hormone levels within the normal range for the person's desired gender. A mental health professional (MHP) must recommend endocrine treatment and participate in ongoing care throughout the endocrine transition and decision for surgical sex reassignment. The endocrinologist must confirm the diagnostic criteria the MHP used to make these recommendations. Because a diagnosis of transsexualism in a prepubertal child cannot be made with certainty, we do not recommend endocrine treatment of prepubertal children. We recommend treating transsexual adolescents (Tanner stage 2) by suppressing puberty with GnRH analogues until age 16 years old, after which cross-sex hormones may be given. We suggest suppressing endogenous sex hormones, maintaining physiologic levels of gender-appropriate sex hormones and monitoring for known risks in adult transsexual persons.", "author" : [ { "dropping-particle" : "", "family" : "Hembree", "given" : "Wylie C.", "non-dropping-particle" : "", "parse-names" : false, "suffix" : "" }, { "dropping-particle" : "", "family" : "Cohen-Kettenis", "given" : "Peggy", "non-dropping-particle" : "", "parse-names" : false, "suffix" : "" }, { "dropping-particle" : "", "family" : "Delemarre-Van De Waal", "given" : "Henriette A.", "non-dropping-particle" : "", "parse-names" : false, "suffix" : "" }, { "dropping-particle" : "", "family" : "Gooren", "given" : "Louis J.", "non-dropping-particle" : "", "parse-names" : false, "suffix" : "" }, { "dropping-particle" : "", "family" : "Meyer", "given" : "Walter J.", "non-dropping-particle" : "", "parse-names" : false, "suffix" : "" }, { "dropping-particle" : "", "family" : "Spack", "given" : "Norman P.", "non-dropping-particle" : "", "parse-names" : false, "suffix" : "" }, { "dropping-particle" : "", "family" : "Tangpricha", "given" : "Vin", "non-dropping-particle" : "", "parse-names" : false, "suffix" : "" }, { "dropping-particle" : "", "family" : "Montori", "given" : "Victor M.", "non-dropping-particle" : "", "parse-names" : false, "suffix" : "" } ], "container-title" : "The Journal of Clinical Endocrinology &amp; Metabolism", "id" : "ITEM-1", "issue" : "9", "issued" : { "date-parts" : [ [ "2009" ] ] }, "page" : "3132-3154", "title" : "Endocrine Treatment of Transsexual Persons:An Endocrine Society Clinical Practice Guideline", "type" : "article-journal", "volume" : "94" }, "uris" : [ "http://www.mendeley.com/documents/?uuid=bc5b1f05-c32d-4690-b85f-4556414dcb0d" ] } ], "mendeley" : { "formattedCitation" : "(9)", "plainTextFormattedCitation" : "(9)", "previouslyFormattedCitation" : "(9)" }, "properties" : { "noteIndex" : 0 }, "schema" : "https://github.com/citation-style-language/schema/raw/master/csl-citation.json" }</w:instrText>
      </w:r>
      <w:r w:rsidR="007A3EDC">
        <w:rPr>
          <w:lang w:val="en-GB"/>
        </w:rPr>
        <w:fldChar w:fldCharType="separate"/>
      </w:r>
      <w:r w:rsidR="001E1DDB" w:rsidRPr="001E1DDB">
        <w:rPr>
          <w:noProof/>
          <w:lang w:val="en-GB"/>
        </w:rPr>
        <w:t>(9)</w:t>
      </w:r>
      <w:r w:rsidR="007A3EDC">
        <w:rPr>
          <w:lang w:val="en-GB"/>
        </w:rPr>
        <w:fldChar w:fldCharType="end"/>
      </w:r>
      <w:r w:rsidR="0085610E" w:rsidRPr="00424984">
        <w:rPr>
          <w:lang w:val="en-GB"/>
        </w:rPr>
        <w:t>.</w:t>
      </w:r>
      <w:r w:rsidR="00E6587A">
        <w:rPr>
          <w:lang w:val="en-GB"/>
        </w:rPr>
        <w:t xml:space="preserve"> All</w:t>
      </w:r>
      <w:r w:rsidR="0085610E" w:rsidRPr="004D1242">
        <w:rPr>
          <w:lang w:val="en-GB"/>
        </w:rPr>
        <w:t xml:space="preserve"> </w:t>
      </w:r>
      <w:r w:rsidR="00E6587A">
        <w:rPr>
          <w:lang w:val="en-GB"/>
        </w:rPr>
        <w:t>a</w:t>
      </w:r>
      <w:r w:rsidR="0085610E">
        <w:rPr>
          <w:lang w:val="en-GB"/>
        </w:rPr>
        <w:t xml:space="preserve">dolescents </w:t>
      </w:r>
      <w:r w:rsidR="0085610E" w:rsidRPr="004D1242">
        <w:rPr>
          <w:lang w:val="en-GB"/>
        </w:rPr>
        <w:t>were advised to</w:t>
      </w:r>
      <w:r w:rsidR="0085610E">
        <w:rPr>
          <w:lang w:val="en-GB"/>
        </w:rPr>
        <w:t xml:space="preserve"> take vitamin D supplementation and a calcium </w:t>
      </w:r>
      <w:r w:rsidR="00C15812">
        <w:rPr>
          <w:lang w:val="en-GB"/>
        </w:rPr>
        <w:t>enriched diet during treatment.</w:t>
      </w:r>
    </w:p>
    <w:p w14:paraId="20644CC7" w14:textId="7D4FE4B9" w:rsidR="00353D43" w:rsidRDefault="00B4043C" w:rsidP="00B4043C">
      <w:pPr>
        <w:spacing w:after="0" w:line="240" w:lineRule="auto"/>
        <w:jc w:val="center"/>
        <w:rPr>
          <w:b/>
          <w:lang w:val="en-GB"/>
        </w:rPr>
      </w:pPr>
      <w:r w:rsidRPr="00B4043C">
        <w:rPr>
          <w:b/>
          <w:noProof/>
        </w:rPr>
        <w:drawing>
          <wp:inline distT="0" distB="0" distL="0" distR="0" wp14:anchorId="6A84E3B5" wp14:editId="6EF69738">
            <wp:extent cx="4852961" cy="4140000"/>
            <wp:effectExtent l="0" t="0" r="5080" b="0"/>
            <wp:docPr id="21" name="Afbeelding 21" descr="C:\Users\Lloyd\Desktop\inclusion - New P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loyd\Desktop\inclusion - New Page.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647" b="2969"/>
                    <a:stretch/>
                  </pic:blipFill>
                  <pic:spPr bwMode="auto">
                    <a:xfrm>
                      <a:off x="0" y="0"/>
                      <a:ext cx="4852961" cy="4140000"/>
                    </a:xfrm>
                    <a:prstGeom prst="rect">
                      <a:avLst/>
                    </a:prstGeom>
                    <a:noFill/>
                    <a:ln>
                      <a:noFill/>
                    </a:ln>
                    <a:extLst>
                      <a:ext uri="{53640926-AAD7-44D8-BBD7-CCE9431645EC}">
                        <a14:shadowObscured xmlns:a14="http://schemas.microsoft.com/office/drawing/2010/main"/>
                      </a:ext>
                    </a:extLst>
                  </pic:spPr>
                </pic:pic>
              </a:graphicData>
            </a:graphic>
          </wp:inline>
        </w:drawing>
      </w:r>
    </w:p>
    <w:p w14:paraId="152F4977" w14:textId="1954BFD2" w:rsidR="00460845" w:rsidRPr="00353D43" w:rsidRDefault="002434B7" w:rsidP="00353D43">
      <w:pPr>
        <w:spacing w:after="0"/>
        <w:jc w:val="both"/>
        <w:rPr>
          <w:sz w:val="18"/>
          <w:szCs w:val="18"/>
          <w:lang w:val="en-GB"/>
        </w:rPr>
      </w:pPr>
      <w:r>
        <w:rPr>
          <w:b/>
          <w:sz w:val="18"/>
          <w:szCs w:val="18"/>
          <w:lang w:val="en-GB"/>
        </w:rPr>
        <w:t>Figure</w:t>
      </w:r>
      <w:r w:rsidR="00E6587A" w:rsidRPr="00353D43">
        <w:rPr>
          <w:b/>
          <w:sz w:val="18"/>
          <w:szCs w:val="18"/>
          <w:lang w:val="en-GB"/>
        </w:rPr>
        <w:t xml:space="preserve"> 2</w:t>
      </w:r>
      <w:r w:rsidR="00460845" w:rsidRPr="00353D43">
        <w:rPr>
          <w:b/>
          <w:sz w:val="18"/>
          <w:szCs w:val="18"/>
          <w:lang w:val="en-GB"/>
        </w:rPr>
        <w:t>.</w:t>
      </w:r>
      <w:r w:rsidR="00460845" w:rsidRPr="00353D43">
        <w:rPr>
          <w:sz w:val="18"/>
          <w:szCs w:val="18"/>
          <w:lang w:val="en-GB"/>
        </w:rPr>
        <w:t xml:space="preserve"> Summary of patients included in each part of the study</w:t>
      </w:r>
    </w:p>
    <w:p w14:paraId="306D5B62" w14:textId="058D3F0A" w:rsidR="00E648EA" w:rsidRPr="00353D43" w:rsidRDefault="00694459" w:rsidP="00353D43">
      <w:pPr>
        <w:spacing w:after="0"/>
        <w:jc w:val="both"/>
        <w:rPr>
          <w:sz w:val="18"/>
          <w:szCs w:val="18"/>
          <w:lang w:val="en-GB"/>
        </w:rPr>
      </w:pPr>
      <w:r w:rsidRPr="00353D43">
        <w:rPr>
          <w:sz w:val="18"/>
          <w:szCs w:val="18"/>
          <w:lang w:val="en-GB"/>
        </w:rPr>
        <w:t>FtM: female to male trans</w:t>
      </w:r>
      <w:r w:rsidR="00353D43" w:rsidRPr="00353D43">
        <w:rPr>
          <w:sz w:val="18"/>
          <w:szCs w:val="18"/>
          <w:lang w:val="en-GB"/>
        </w:rPr>
        <w:t>gender</w:t>
      </w:r>
      <w:r w:rsidRPr="00353D43">
        <w:rPr>
          <w:sz w:val="18"/>
          <w:szCs w:val="18"/>
          <w:lang w:val="en-GB"/>
        </w:rPr>
        <w:t xml:space="preserve"> </w:t>
      </w:r>
      <w:r w:rsidR="00B27D38" w:rsidRPr="00353D43">
        <w:rPr>
          <w:sz w:val="18"/>
          <w:szCs w:val="18"/>
          <w:lang w:val="en-GB"/>
        </w:rPr>
        <w:t>adolescent</w:t>
      </w:r>
      <w:r w:rsidRPr="00353D43">
        <w:rPr>
          <w:sz w:val="18"/>
          <w:szCs w:val="18"/>
          <w:lang w:val="en-GB"/>
        </w:rPr>
        <w:t>s; MtF: male to female trans</w:t>
      </w:r>
      <w:r w:rsidR="00353D43" w:rsidRPr="00353D43">
        <w:rPr>
          <w:sz w:val="18"/>
          <w:szCs w:val="18"/>
          <w:lang w:val="en-GB"/>
        </w:rPr>
        <w:t>gender</w:t>
      </w:r>
      <w:r w:rsidRPr="00353D43">
        <w:rPr>
          <w:sz w:val="18"/>
          <w:szCs w:val="18"/>
          <w:lang w:val="en-GB"/>
        </w:rPr>
        <w:t xml:space="preserve"> </w:t>
      </w:r>
      <w:r w:rsidR="00B27D38" w:rsidRPr="00353D43">
        <w:rPr>
          <w:sz w:val="18"/>
          <w:szCs w:val="18"/>
          <w:lang w:val="en-GB"/>
        </w:rPr>
        <w:t>adolescent</w:t>
      </w:r>
      <w:r w:rsidRPr="00353D43">
        <w:rPr>
          <w:sz w:val="18"/>
          <w:szCs w:val="18"/>
          <w:lang w:val="en-GB"/>
        </w:rPr>
        <w:t xml:space="preserve">s. </w:t>
      </w:r>
      <w:r w:rsidR="00353D43" w:rsidRPr="00353D43">
        <w:rPr>
          <w:sz w:val="18"/>
          <w:szCs w:val="18"/>
          <w:lang w:val="en-GB"/>
        </w:rPr>
        <w:t>M</w:t>
      </w:r>
      <w:r w:rsidR="00460845" w:rsidRPr="00353D43">
        <w:rPr>
          <w:sz w:val="18"/>
          <w:szCs w:val="18"/>
          <w:lang w:val="en-GB"/>
        </w:rPr>
        <w:t>issing biochem: biochemical data was missing, data on ant</w:t>
      </w:r>
      <w:r w:rsidR="00B27D38" w:rsidRPr="00353D43">
        <w:rPr>
          <w:sz w:val="18"/>
          <w:szCs w:val="18"/>
          <w:lang w:val="en-GB"/>
        </w:rPr>
        <w:t>hropometry and (side) effects were</w:t>
      </w:r>
      <w:r w:rsidR="00C1634D" w:rsidRPr="00353D43">
        <w:rPr>
          <w:sz w:val="18"/>
          <w:szCs w:val="18"/>
          <w:lang w:val="en-GB"/>
        </w:rPr>
        <w:t xml:space="preserve"> still included</w:t>
      </w:r>
      <w:r w:rsidR="00353D43" w:rsidRPr="00353D43">
        <w:rPr>
          <w:sz w:val="18"/>
          <w:szCs w:val="18"/>
          <w:lang w:val="en-GB"/>
        </w:rPr>
        <w:t>.</w:t>
      </w:r>
    </w:p>
    <w:p w14:paraId="3BEBD992" w14:textId="3CA8BD27" w:rsidR="000B48EC" w:rsidRPr="00B16C55" w:rsidRDefault="000B48EC" w:rsidP="00C942CA">
      <w:pPr>
        <w:pStyle w:val="Kop3"/>
        <w:rPr>
          <w:lang w:val="en-GB"/>
        </w:rPr>
      </w:pPr>
      <w:bookmarkStart w:id="33" w:name="_Toc451961489"/>
      <w:r w:rsidRPr="00B16C55">
        <w:rPr>
          <w:lang w:val="en-GB"/>
        </w:rPr>
        <w:t>Methods</w:t>
      </w:r>
      <w:bookmarkEnd w:id="33"/>
    </w:p>
    <w:p w14:paraId="2FBFFCC3" w14:textId="440849F7" w:rsidR="00107430" w:rsidRPr="007C16A5" w:rsidRDefault="000B48EC" w:rsidP="00194465">
      <w:pPr>
        <w:spacing w:after="0" w:line="360" w:lineRule="auto"/>
        <w:jc w:val="both"/>
        <w:rPr>
          <w:lang w:val="en-GB"/>
        </w:rPr>
      </w:pPr>
      <w:r w:rsidRPr="00BD2FB1">
        <w:rPr>
          <w:lang w:val="en-GB"/>
        </w:rPr>
        <w:t xml:space="preserve">Intake visits were aimed at excluding a disorder of sex development underlying GD, and at determining </w:t>
      </w:r>
      <w:r>
        <w:rPr>
          <w:lang w:val="en-GB"/>
        </w:rPr>
        <w:t xml:space="preserve">the </w:t>
      </w:r>
      <w:r w:rsidRPr="00BD2FB1">
        <w:rPr>
          <w:lang w:val="en-GB"/>
        </w:rPr>
        <w:t xml:space="preserve">pubertal </w:t>
      </w:r>
      <w:r>
        <w:rPr>
          <w:lang w:val="en-GB"/>
        </w:rPr>
        <w:t>(Tanner) stage.</w:t>
      </w:r>
      <w:r w:rsidRPr="00BD2FB1">
        <w:rPr>
          <w:lang w:val="en-GB"/>
        </w:rPr>
        <w:t xml:space="preserve"> </w:t>
      </w:r>
      <w:r>
        <w:rPr>
          <w:lang w:val="en-GB"/>
        </w:rPr>
        <w:t>L</w:t>
      </w:r>
      <w:r w:rsidRPr="00BD2FB1">
        <w:rPr>
          <w:lang w:val="en-GB"/>
        </w:rPr>
        <w:t xml:space="preserve"> </w:t>
      </w:r>
      <w:r w:rsidR="00FE7C1C">
        <w:rPr>
          <w:lang w:val="en-GB"/>
        </w:rPr>
        <w:t xml:space="preserve">(5mg/d) </w:t>
      </w:r>
      <w:r w:rsidRPr="00BD2FB1">
        <w:rPr>
          <w:lang w:val="en-GB"/>
        </w:rPr>
        <w:t xml:space="preserve">was started in FtM adolescents with Tanner stage </w:t>
      </w:r>
      <w:r>
        <w:rPr>
          <w:lang w:val="en-GB"/>
        </w:rPr>
        <w:t>B</w:t>
      </w:r>
      <w:r w:rsidRPr="00BD2FB1">
        <w:rPr>
          <w:lang w:val="en-GB"/>
        </w:rPr>
        <w:t>4 and further</w:t>
      </w:r>
      <w:r>
        <w:rPr>
          <w:lang w:val="en-GB"/>
        </w:rPr>
        <w:t>,</w:t>
      </w:r>
      <w:r w:rsidRPr="00BD2FB1">
        <w:rPr>
          <w:lang w:val="en-GB"/>
        </w:rPr>
        <w:t xml:space="preserve"> </w:t>
      </w:r>
      <w:r w:rsidR="0015120A">
        <w:rPr>
          <w:lang w:val="en-GB"/>
        </w:rPr>
        <w:t>CA</w:t>
      </w:r>
      <w:r w:rsidR="00FE7C1C">
        <w:rPr>
          <w:lang w:val="en-GB"/>
        </w:rPr>
        <w:t xml:space="preserve"> (50mg/d)</w:t>
      </w:r>
      <w:r w:rsidR="0015120A">
        <w:rPr>
          <w:lang w:val="en-GB"/>
        </w:rPr>
        <w:t xml:space="preserve"> in MtF adolescents with Tanner stage </w:t>
      </w:r>
      <w:r w:rsidR="005021FA">
        <w:rPr>
          <w:lang w:val="en-GB"/>
        </w:rPr>
        <w:t xml:space="preserve">G4 </w:t>
      </w:r>
      <w:r w:rsidR="0015120A">
        <w:rPr>
          <w:lang w:val="en-GB"/>
        </w:rPr>
        <w:t xml:space="preserve">or further, </w:t>
      </w:r>
      <w:r w:rsidRPr="00BD2FB1">
        <w:rPr>
          <w:lang w:val="en-GB"/>
        </w:rPr>
        <w:t xml:space="preserve">who met the criteria as </w:t>
      </w:r>
      <w:r>
        <w:rPr>
          <w:lang w:val="en-GB"/>
        </w:rPr>
        <w:t xml:space="preserve">outlined in </w:t>
      </w:r>
      <w:r w:rsidR="007A3EDC">
        <w:rPr>
          <w:lang w:val="en-GB"/>
        </w:rPr>
        <w:fldChar w:fldCharType="begin" w:fldLock="1"/>
      </w:r>
      <w:r w:rsidR="00C7364E">
        <w:rPr>
          <w:lang w:val="en-GB"/>
        </w:rPr>
        <w:instrText>ADDIN CSL_CITATION { "citationItems" : [ { "id" : "ITEM-1", "itemData" : { "DOI" : "10.1210/jc.2009-0345", "ISBN" : "0021-972X", "ISSN" : "0021-972X", "PMID" : "19509099", "abstract" : "OBJECTIVE: The aim was to formulate practice guidelines for endocrine treatment of transsexual persons. EVIDENCE: This evidence-based guideline was developed using the Grading of Recommendations, Assessment, Development, and Evaluation (GRADE) system to describe the strength of recommendations and the quality of evidence, which was low or very low. CONSENSUS PROCESS: Committees and members of The Endocrine Society, European Society of Endocrinology, European Society for Paediatric Endocrinology, Lawson Wilkins Pediatric Endocrine Society, and World Professional Association for Transgender Health commented on preliminary drafts of these guidelines. CONCLUSIONS: Transsexual persons seeking to develop the physical characteristics of the desired gender require a safe, effective hormone regimen that will 1) suppress endogenous hormone secretion determined by the person's genetic/biologic sex and 2) maintain sex hormone levels within the normal range for the person's desired gender. A mental health professional (MHP) must recommend endocrine treatment and participate in ongoing care throughout the endocrine transition and decision for surgical sex reassignment. The endocrinologist must confirm the diagnostic criteria the MHP used to make these recommendations. Because a diagnosis of transsexualism in a prepubertal child cannot be made with certainty, we do not recommend endocrine treatment of prepubertal children. We recommend treating transsexual adolescents (Tanner stage 2) by suppressing puberty with GnRH analogues until age 16 years old, after which cross-sex hormones may be given. We suggest suppressing endogenous sex hormones, maintaining physiologic levels of gender-appropriate sex hormones and monitoring for known risks in adult transsexual persons.", "author" : [ { "dropping-particle" : "", "family" : "Hembree", "given" : "Wylie C.", "non-dropping-particle" : "", "parse-names" : false, "suffix" : "" }, { "dropping-particle" : "", "family" : "Cohen-Kettenis", "given" : "Peggy", "non-dropping-particle" : "", "parse-names" : false, "suffix" : "" }, { "dropping-particle" : "", "family" : "Delemarre-Van De Waal", "given" : "Henriette A.", "non-dropping-particle" : "", "parse-names" : false, "suffix" : "" }, { "dropping-particle" : "", "family" : "Gooren", "given" : "Louis J.", "non-dropping-particle" : "", "parse-names" : false, "suffix" : "" }, { "dropping-particle" : "", "family" : "Meyer", "given" : "Walter J.", "non-dropping-particle" : "", "parse-names" : false, "suffix" : "" }, { "dropping-particle" : "", "family" : "Spack", "given" : "Norman P.", "non-dropping-particle" : "", "parse-names" : false, "suffix" : "" }, { "dropping-particle" : "", "family" : "Tangpricha", "given" : "Vin", "non-dropping-particle" : "", "parse-names" : false, "suffix" : "" }, { "dropping-particle" : "", "family" : "Montori", "given" : "Victor M.", "non-dropping-particle" : "", "parse-names" : false, "suffix" : "" } ], "container-title" : "The Journal of Clinical Endocrinology &amp; Metabolism", "id" : "ITEM-1", "issue" : "9", "issued" : { "date-parts" : [ [ "2009" ] ] }, "page" : "3132-3154", "title" : "Endocrine Treatment of Transsexual Persons:An Endocrine Society Clinical Practice Guideline", "type" : "article-journal", "volume" : "94" }, "uris" : [ "http://www.mendeley.com/documents/?uuid=bc5b1f05-c32d-4690-b85f-4556414dcb0d" ] } ], "mendeley" : { "formattedCitation" : "(9)", "plainTextFormattedCitation" : "(9)", "previouslyFormattedCitation" : "(9)" }, "properties" : { "noteIndex" : 0 }, "schema" : "https://github.com/citation-style-language/schema/raw/master/csl-citation.json" }</w:instrText>
      </w:r>
      <w:r w:rsidR="007A3EDC">
        <w:rPr>
          <w:lang w:val="en-GB"/>
        </w:rPr>
        <w:fldChar w:fldCharType="separate"/>
      </w:r>
      <w:r w:rsidR="001E1DDB" w:rsidRPr="001E1DDB">
        <w:rPr>
          <w:noProof/>
          <w:lang w:val="en-GB"/>
        </w:rPr>
        <w:t>(9)</w:t>
      </w:r>
      <w:r w:rsidR="007A3EDC">
        <w:rPr>
          <w:lang w:val="en-GB"/>
        </w:rPr>
        <w:fldChar w:fldCharType="end"/>
      </w:r>
      <w:r w:rsidRPr="00BD2FB1">
        <w:rPr>
          <w:lang w:val="en-GB"/>
        </w:rPr>
        <w:t xml:space="preserve">. </w:t>
      </w:r>
      <w:r>
        <w:rPr>
          <w:lang w:val="en-GB"/>
        </w:rPr>
        <w:t>TE</w:t>
      </w:r>
      <w:r w:rsidR="0015120A">
        <w:rPr>
          <w:lang w:val="en-GB"/>
        </w:rPr>
        <w:t xml:space="preserve"> and E</w:t>
      </w:r>
      <w:r w:rsidRPr="00BD2FB1">
        <w:rPr>
          <w:lang w:val="en-GB"/>
        </w:rPr>
        <w:t xml:space="preserve"> were added to the treatment </w:t>
      </w:r>
      <w:r w:rsidR="00261438" w:rsidRPr="00BD2FB1">
        <w:rPr>
          <w:lang w:val="en-GB"/>
        </w:rPr>
        <w:t xml:space="preserve">in FtM </w:t>
      </w:r>
      <w:r w:rsidR="00261438">
        <w:rPr>
          <w:lang w:val="en-GB"/>
        </w:rPr>
        <w:t xml:space="preserve">and MtF </w:t>
      </w:r>
      <w:r w:rsidR="00FB3E0C">
        <w:rPr>
          <w:lang w:val="en-GB"/>
        </w:rPr>
        <w:t>trans</w:t>
      </w:r>
      <w:r w:rsidR="00493539">
        <w:rPr>
          <w:lang w:val="en-GB"/>
        </w:rPr>
        <w:t>gender</w:t>
      </w:r>
      <w:r w:rsidR="00FB3E0C">
        <w:rPr>
          <w:lang w:val="en-GB"/>
        </w:rPr>
        <w:t xml:space="preserve"> </w:t>
      </w:r>
      <w:r w:rsidR="00261438" w:rsidRPr="00BD2FB1">
        <w:rPr>
          <w:lang w:val="en-GB"/>
        </w:rPr>
        <w:lastRenderedPageBreak/>
        <w:t xml:space="preserve">adolescents of at least 16 years old who met the criteria as </w:t>
      </w:r>
      <w:r w:rsidR="00261438">
        <w:rPr>
          <w:lang w:val="en-GB"/>
        </w:rPr>
        <w:t xml:space="preserve">outlined in </w:t>
      </w:r>
      <w:r w:rsidR="00261438">
        <w:rPr>
          <w:lang w:val="en-GB"/>
        </w:rPr>
        <w:fldChar w:fldCharType="begin" w:fldLock="1"/>
      </w:r>
      <w:r w:rsidR="00C7364E">
        <w:rPr>
          <w:lang w:val="en-GB"/>
        </w:rPr>
        <w:instrText>ADDIN CSL_CITATION { "citationItems" : [ { "id" : "ITEM-1", "itemData" : { "DOI" : "10.1210/jc.2009-0345", "ISBN" : "0021-972X", "ISSN" : "0021-972X", "PMID" : "19509099", "abstract" : "OBJECTIVE: The aim was to formulate practice guidelines for endocrine treatment of transsexual persons. EVIDENCE: This evidence-based guideline was developed using the Grading of Recommendations, Assessment, Development, and Evaluation (GRADE) system to describe the strength of recommendations and the quality of evidence, which was low or very low. CONSENSUS PROCESS: Committees and members of The Endocrine Society, European Society of Endocrinology, European Society for Paediatric Endocrinology, Lawson Wilkins Pediatric Endocrine Society, and World Professional Association for Transgender Health commented on preliminary drafts of these guidelines. CONCLUSIONS: Transsexual persons seeking to develop the physical characteristics of the desired gender require a safe, effective hormone regimen that will 1) suppress endogenous hormone secretion determined by the person's genetic/biologic sex and 2) maintain sex hormone levels within the normal range for the person's desired gender. A mental health professional (MHP) must recommend endocrine treatment and participate in ongoing care throughout the endocrine transition and decision for surgical sex reassignment. The endocrinologist must confirm the diagnostic criteria the MHP used to make these recommendations. Because a diagnosis of transsexualism in a prepubertal child cannot be made with certainty, we do not recommend endocrine treatment of prepubertal children. We recommend treating transsexual adolescents (Tanner stage 2) by suppressing puberty with GnRH analogues until age 16 years old, after which cross-sex hormones may be given. We suggest suppressing endogenous sex hormones, maintaining physiologic levels of gender-appropriate sex hormones and monitoring for known risks in adult transsexual persons.", "author" : [ { "dropping-particle" : "", "family" : "Hembree", "given" : "Wylie C.", "non-dropping-particle" : "", "parse-names" : false, "suffix" : "" }, { "dropping-particle" : "", "family" : "Cohen-Kettenis", "given" : "Peggy", "non-dropping-particle" : "", "parse-names" : false, "suffix" : "" }, { "dropping-particle" : "", "family" : "Delemarre-Van De Waal", "given" : "Henriette A.", "non-dropping-particle" : "", "parse-names" : false, "suffix" : "" }, { "dropping-particle" : "", "family" : "Gooren", "given" : "Louis J.", "non-dropping-particle" : "", "parse-names" : false, "suffix" : "" }, { "dropping-particle" : "", "family" : "Meyer", "given" : "Walter J.", "non-dropping-particle" : "", "parse-names" : false, "suffix" : "" }, { "dropping-particle" : "", "family" : "Spack", "given" : "Norman P.", "non-dropping-particle" : "", "parse-names" : false, "suffix" : "" }, { "dropping-particle" : "", "family" : "Tangpricha", "given" : "Vin", "non-dropping-particle" : "", "parse-names" : false, "suffix" : "" }, { "dropping-particle" : "", "family" : "Montori", "given" : "Victor M.", "non-dropping-particle" : "", "parse-names" : false, "suffix" : "" } ], "container-title" : "The Journal of Clinical Endocrinology &amp; Metabolism", "id" : "ITEM-1", "issue" : "9", "issued" : { "date-parts" : [ [ "2009" ] ] }, "page" : "3132-3154", "title" : "Endocrine Treatment of Transsexual Persons:An Endocrine Society Clinical Practice Guideline", "type" : "article-journal", "volume" : "94" }, "uris" : [ "http://www.mendeley.com/documents/?uuid=bc5b1f05-c32d-4690-b85f-4556414dcb0d" ] } ], "mendeley" : { "formattedCitation" : "(9)", "plainTextFormattedCitation" : "(9)", "previouslyFormattedCitation" : "(9)" }, "properties" : { "noteIndex" : 0 }, "schema" : "https://github.com/citation-style-language/schema/raw/master/csl-citation.json" }</w:instrText>
      </w:r>
      <w:r w:rsidR="00261438">
        <w:rPr>
          <w:lang w:val="en-GB"/>
        </w:rPr>
        <w:fldChar w:fldCharType="separate"/>
      </w:r>
      <w:r w:rsidR="001E1DDB" w:rsidRPr="001E1DDB">
        <w:rPr>
          <w:noProof/>
          <w:lang w:val="en-GB"/>
        </w:rPr>
        <w:t>(9)</w:t>
      </w:r>
      <w:r w:rsidR="00261438">
        <w:rPr>
          <w:lang w:val="en-GB"/>
        </w:rPr>
        <w:fldChar w:fldCharType="end"/>
      </w:r>
      <w:r w:rsidR="00261438">
        <w:rPr>
          <w:lang w:val="en-GB"/>
        </w:rPr>
        <w:t xml:space="preserve">. Doses were gradually increased </w:t>
      </w:r>
      <w:r w:rsidRPr="00BD2FB1">
        <w:rPr>
          <w:lang w:val="en-GB"/>
        </w:rPr>
        <w:t xml:space="preserve">according to the protocol represented in </w:t>
      </w:r>
      <w:r w:rsidRPr="00E2388A">
        <w:rPr>
          <w:lang w:val="en-GB"/>
        </w:rPr>
        <w:t xml:space="preserve">Table </w:t>
      </w:r>
      <w:r w:rsidR="00A44497">
        <w:rPr>
          <w:lang w:val="en-GB"/>
        </w:rPr>
        <w:t>3</w:t>
      </w:r>
      <w:r w:rsidRPr="00BD2FB1">
        <w:rPr>
          <w:lang w:val="en-GB"/>
        </w:rPr>
        <w:t xml:space="preserve">. Follow-up visits were scheduled every 6 months. </w:t>
      </w:r>
      <w:r w:rsidR="00107430">
        <w:rPr>
          <w:lang w:val="en-GB"/>
        </w:rPr>
        <w:t xml:space="preserve">Recorded parameters during each visit are represented </w:t>
      </w:r>
      <w:r w:rsidR="00107430" w:rsidRPr="00FB3E0C">
        <w:rPr>
          <w:lang w:val="en-GB"/>
        </w:rPr>
        <w:t xml:space="preserve">in </w:t>
      </w:r>
      <w:r w:rsidR="00194465">
        <w:rPr>
          <w:lang w:val="en-GB"/>
        </w:rPr>
        <w:t>T</w:t>
      </w:r>
      <w:r w:rsidR="00107430" w:rsidRPr="00FB3E0C">
        <w:rPr>
          <w:lang w:val="en-GB"/>
        </w:rPr>
        <w:t xml:space="preserve">able </w:t>
      </w:r>
      <w:r w:rsidR="00624AB0">
        <w:rPr>
          <w:lang w:val="en-GB"/>
        </w:rPr>
        <w:t>2</w:t>
      </w:r>
      <w:r w:rsidR="00107430" w:rsidRPr="00FB3E0C">
        <w:rPr>
          <w:lang w:val="en-GB"/>
        </w:rPr>
        <w:t>.</w:t>
      </w:r>
      <w:r w:rsidR="007C16A5">
        <w:rPr>
          <w:lang w:val="en-GB"/>
        </w:rPr>
        <w:t xml:space="preserve"> </w:t>
      </w:r>
    </w:p>
    <w:p w14:paraId="4413C470" w14:textId="77777777" w:rsidR="00006A98" w:rsidRDefault="00006A98" w:rsidP="00D63C5A">
      <w:pPr>
        <w:spacing w:after="0" w:line="360" w:lineRule="auto"/>
        <w:rPr>
          <w:lang w:val="en-GB"/>
        </w:rPr>
      </w:pPr>
    </w:p>
    <w:p w14:paraId="6842E192" w14:textId="382F0EE3" w:rsidR="00C15BA0" w:rsidRPr="00D4769A" w:rsidRDefault="000B48EC" w:rsidP="000E04DD">
      <w:pPr>
        <w:spacing w:after="0" w:line="360" w:lineRule="auto"/>
        <w:jc w:val="both"/>
        <w:rPr>
          <w:rFonts w:cs="Arial"/>
          <w:bCs/>
          <w:lang w:val="en-GB"/>
        </w:rPr>
      </w:pPr>
      <w:r w:rsidRPr="00D4769A">
        <w:rPr>
          <w:lang w:val="en-GB"/>
        </w:rPr>
        <w:t xml:space="preserve">During medical treatment, </w:t>
      </w:r>
      <w:r w:rsidR="00006A98">
        <w:rPr>
          <w:lang w:val="en-GB"/>
        </w:rPr>
        <w:t>adolescents</w:t>
      </w:r>
      <w:r w:rsidR="00537EC1">
        <w:rPr>
          <w:lang w:val="en-GB"/>
        </w:rPr>
        <w:t xml:space="preserve"> we</w:t>
      </w:r>
      <w:r w:rsidRPr="00D4769A">
        <w:rPr>
          <w:lang w:val="en-GB"/>
        </w:rPr>
        <w:t>re seen every three months by the team child psychologist. I</w:t>
      </w:r>
      <w:r w:rsidR="00931CF1">
        <w:rPr>
          <w:lang w:val="en-GB"/>
        </w:rPr>
        <w:t xml:space="preserve">n the absence of psychiatric </w:t>
      </w:r>
      <w:r w:rsidR="00194465">
        <w:rPr>
          <w:lang w:val="en-GB"/>
        </w:rPr>
        <w:t>co</w:t>
      </w:r>
      <w:r w:rsidR="00194465" w:rsidRPr="00D4769A">
        <w:rPr>
          <w:lang w:val="en-GB"/>
        </w:rPr>
        <w:t>morbidity</w:t>
      </w:r>
      <w:r w:rsidR="00537EC1">
        <w:rPr>
          <w:lang w:val="en-GB"/>
        </w:rPr>
        <w:t>, they we</w:t>
      </w:r>
      <w:r w:rsidRPr="00D4769A">
        <w:rPr>
          <w:lang w:val="en-GB"/>
        </w:rPr>
        <w:t xml:space="preserve">re evaluated twice by the team child psychiatrist during this phase; once </w:t>
      </w:r>
      <w:r w:rsidR="00261438">
        <w:rPr>
          <w:lang w:val="en-GB"/>
        </w:rPr>
        <w:t>to confi</w:t>
      </w:r>
      <w:r w:rsidR="00194465">
        <w:rPr>
          <w:lang w:val="en-GB"/>
        </w:rPr>
        <w:t>rm the diagnosis and exclude co</w:t>
      </w:r>
      <w:r w:rsidR="00261438">
        <w:rPr>
          <w:lang w:val="en-GB"/>
        </w:rPr>
        <w:t>morbidities</w:t>
      </w:r>
      <w:r w:rsidR="006003A0">
        <w:rPr>
          <w:lang w:val="en-GB"/>
        </w:rPr>
        <w:t>, and once more at start of CSH</w:t>
      </w:r>
      <w:r w:rsidRPr="00D4769A">
        <w:rPr>
          <w:lang w:val="en-GB"/>
        </w:rPr>
        <w:t xml:space="preserve">. </w:t>
      </w:r>
      <w:r w:rsidRPr="00D4769A">
        <w:rPr>
          <w:rFonts w:cs="Arial"/>
          <w:bCs/>
          <w:lang w:val="en-GB"/>
        </w:rPr>
        <w:t>Fertility issues are discussed thoroughly throughout each treatment phase</w:t>
      </w:r>
      <w:r w:rsidR="008D5E57">
        <w:rPr>
          <w:rFonts w:cs="Arial"/>
          <w:bCs/>
          <w:lang w:val="en-GB"/>
        </w:rPr>
        <w:t>. FtM</w:t>
      </w:r>
      <w:r w:rsidR="00006A98">
        <w:rPr>
          <w:rFonts w:cs="Arial"/>
          <w:bCs/>
          <w:lang w:val="en-GB"/>
        </w:rPr>
        <w:t xml:space="preserve"> trans</w:t>
      </w:r>
      <w:r w:rsidR="00493539">
        <w:rPr>
          <w:rFonts w:cs="Arial"/>
          <w:bCs/>
          <w:lang w:val="en-GB"/>
        </w:rPr>
        <w:t>gender</w:t>
      </w:r>
      <w:r w:rsidR="008D5E57">
        <w:rPr>
          <w:rFonts w:cs="Arial"/>
          <w:bCs/>
          <w:lang w:val="en-GB"/>
        </w:rPr>
        <w:t xml:space="preserve"> </w:t>
      </w:r>
      <w:r w:rsidRPr="00D4769A">
        <w:rPr>
          <w:rFonts w:cs="Arial"/>
          <w:bCs/>
          <w:lang w:val="en-GB"/>
        </w:rPr>
        <w:t xml:space="preserve">adolescents </w:t>
      </w:r>
      <w:r w:rsidR="00261438">
        <w:rPr>
          <w:rFonts w:cs="Arial"/>
          <w:bCs/>
          <w:lang w:val="en-GB"/>
        </w:rPr>
        <w:t>were</w:t>
      </w:r>
      <w:r w:rsidR="00261438" w:rsidRPr="00D4769A">
        <w:rPr>
          <w:rFonts w:cs="Arial"/>
          <w:bCs/>
          <w:lang w:val="en-GB"/>
        </w:rPr>
        <w:t xml:space="preserve"> </w:t>
      </w:r>
      <w:r w:rsidRPr="00D4769A">
        <w:rPr>
          <w:rFonts w:cs="Arial"/>
          <w:bCs/>
          <w:lang w:val="en-GB"/>
        </w:rPr>
        <w:t>given the chance to undergo ovum pick-up following an ovarian stimulation program before initiation of T</w:t>
      </w:r>
      <w:r w:rsidR="008D5E57">
        <w:rPr>
          <w:rFonts w:cs="Arial"/>
          <w:bCs/>
          <w:lang w:val="en-GB"/>
        </w:rPr>
        <w:t>E</w:t>
      </w:r>
      <w:r w:rsidRPr="00D4769A">
        <w:rPr>
          <w:rFonts w:cs="Arial"/>
          <w:bCs/>
          <w:lang w:val="en-GB"/>
        </w:rPr>
        <w:t xml:space="preserve">. However, </w:t>
      </w:r>
      <w:r w:rsidR="00261438">
        <w:rPr>
          <w:rFonts w:cs="Arial"/>
          <w:bCs/>
          <w:lang w:val="en-GB"/>
        </w:rPr>
        <w:t>almost all</w:t>
      </w:r>
      <w:r w:rsidRPr="00D4769A">
        <w:rPr>
          <w:rFonts w:cs="Arial"/>
          <w:bCs/>
          <w:lang w:val="en-GB"/>
        </w:rPr>
        <w:t xml:space="preserve"> adolescents prefe</w:t>
      </w:r>
      <w:r w:rsidR="00261438">
        <w:rPr>
          <w:rFonts w:cs="Arial"/>
          <w:bCs/>
          <w:lang w:val="en-GB"/>
        </w:rPr>
        <w:t>r</w:t>
      </w:r>
      <w:r w:rsidRPr="00D4769A">
        <w:rPr>
          <w:rFonts w:cs="Arial"/>
          <w:bCs/>
          <w:lang w:val="en-GB"/>
        </w:rPr>
        <w:t>r</w:t>
      </w:r>
      <w:r w:rsidR="00261438">
        <w:rPr>
          <w:rFonts w:cs="Arial"/>
          <w:bCs/>
          <w:lang w:val="en-GB"/>
        </w:rPr>
        <w:t>ed</w:t>
      </w:r>
      <w:r w:rsidRPr="00D4769A">
        <w:rPr>
          <w:rFonts w:cs="Arial"/>
          <w:bCs/>
          <w:lang w:val="en-GB"/>
        </w:rPr>
        <w:t xml:space="preserve"> to start TE without any delay. </w:t>
      </w:r>
      <w:r w:rsidR="0041707A">
        <w:rPr>
          <w:rFonts w:cs="Arial"/>
          <w:bCs/>
          <w:lang w:val="en-GB"/>
        </w:rPr>
        <w:t>The same option was given w</w:t>
      </w:r>
      <w:r w:rsidRPr="00D4769A">
        <w:rPr>
          <w:rFonts w:cs="Arial"/>
          <w:bCs/>
          <w:lang w:val="en-GB"/>
        </w:rPr>
        <w:t xml:space="preserve">hen considering </w:t>
      </w:r>
      <w:r w:rsidR="002C4639">
        <w:rPr>
          <w:rFonts w:cs="Arial"/>
          <w:bCs/>
          <w:lang w:val="en-GB"/>
        </w:rPr>
        <w:t>SRS</w:t>
      </w:r>
      <w:r w:rsidR="0041707A">
        <w:rPr>
          <w:rFonts w:cs="Arial"/>
          <w:bCs/>
          <w:lang w:val="en-GB"/>
        </w:rPr>
        <w:t>. A</w:t>
      </w:r>
      <w:r w:rsidRPr="00D4769A">
        <w:rPr>
          <w:rFonts w:cs="Arial"/>
          <w:bCs/>
          <w:lang w:val="en-GB"/>
        </w:rPr>
        <w:t xml:space="preserve">lternatively, </w:t>
      </w:r>
      <w:r w:rsidR="0041707A">
        <w:rPr>
          <w:rFonts w:cs="Arial"/>
          <w:bCs/>
          <w:lang w:val="en-GB"/>
        </w:rPr>
        <w:t>FtM</w:t>
      </w:r>
      <w:r w:rsidR="00C177E2">
        <w:rPr>
          <w:rFonts w:cs="Arial"/>
          <w:bCs/>
          <w:lang w:val="en-GB"/>
        </w:rPr>
        <w:t xml:space="preserve"> trans</w:t>
      </w:r>
      <w:r w:rsidR="00493539">
        <w:rPr>
          <w:rFonts w:cs="Arial"/>
          <w:bCs/>
          <w:lang w:val="en-GB"/>
        </w:rPr>
        <w:t>gender</w:t>
      </w:r>
      <w:r w:rsidR="0041707A">
        <w:rPr>
          <w:rFonts w:cs="Arial"/>
          <w:bCs/>
          <w:lang w:val="en-GB"/>
        </w:rPr>
        <w:t xml:space="preserve"> adolescents were informed that </w:t>
      </w:r>
      <w:r w:rsidRPr="00D4769A">
        <w:rPr>
          <w:rFonts w:cs="Arial"/>
          <w:bCs/>
          <w:lang w:val="en-GB"/>
        </w:rPr>
        <w:t>part of their ovaries</w:t>
      </w:r>
      <w:r w:rsidRPr="00D4769A" w:rsidDel="00E84250">
        <w:rPr>
          <w:rFonts w:cs="Arial"/>
          <w:bCs/>
          <w:lang w:val="en-GB"/>
        </w:rPr>
        <w:t xml:space="preserve"> </w:t>
      </w:r>
      <w:r w:rsidRPr="00D4769A">
        <w:rPr>
          <w:rFonts w:cs="Arial"/>
          <w:bCs/>
          <w:lang w:val="en-GB"/>
        </w:rPr>
        <w:t>can be cryopreserved at the time of gonadectomy</w:t>
      </w:r>
      <w:r w:rsidR="0041707A">
        <w:rPr>
          <w:rFonts w:cs="Arial"/>
          <w:bCs/>
          <w:lang w:val="en-GB"/>
        </w:rPr>
        <w:t xml:space="preserve"> for eventual later assisted reproduction purposes</w:t>
      </w:r>
      <w:r w:rsidRPr="00D4769A">
        <w:rPr>
          <w:rFonts w:cs="Arial"/>
          <w:bCs/>
          <w:lang w:val="en-GB"/>
        </w:rPr>
        <w:t xml:space="preserve">. In our experience, most </w:t>
      </w:r>
      <w:r w:rsidR="008D5E57">
        <w:rPr>
          <w:rFonts w:cs="Arial"/>
          <w:bCs/>
          <w:lang w:val="en-GB"/>
        </w:rPr>
        <w:t>FtM</w:t>
      </w:r>
      <w:r w:rsidR="00C177E2">
        <w:rPr>
          <w:rFonts w:cs="Arial"/>
          <w:bCs/>
          <w:lang w:val="en-GB"/>
        </w:rPr>
        <w:t xml:space="preserve"> trans</w:t>
      </w:r>
      <w:r w:rsidR="00493539">
        <w:rPr>
          <w:rFonts w:cs="Arial"/>
          <w:bCs/>
          <w:lang w:val="en-GB"/>
        </w:rPr>
        <w:t>gender</w:t>
      </w:r>
      <w:r w:rsidR="00C177E2">
        <w:rPr>
          <w:rFonts w:cs="Arial"/>
          <w:bCs/>
          <w:lang w:val="en-GB"/>
        </w:rPr>
        <w:t xml:space="preserve"> adolescents</w:t>
      </w:r>
      <w:r w:rsidRPr="00D4769A">
        <w:rPr>
          <w:rFonts w:cs="Arial"/>
          <w:bCs/>
          <w:lang w:val="en-GB"/>
        </w:rPr>
        <w:t xml:space="preserve"> prefer </w:t>
      </w:r>
      <w:r w:rsidR="0041707A">
        <w:rPr>
          <w:rFonts w:cs="Arial"/>
          <w:bCs/>
          <w:lang w:val="en-GB"/>
        </w:rPr>
        <w:t>this last</w:t>
      </w:r>
      <w:r w:rsidRPr="00D4769A">
        <w:rPr>
          <w:rFonts w:cs="Arial"/>
          <w:bCs/>
          <w:lang w:val="en-GB"/>
        </w:rPr>
        <w:t xml:space="preserve"> option.</w:t>
      </w:r>
      <w:r w:rsidR="00742E51">
        <w:rPr>
          <w:rFonts w:cs="Arial"/>
          <w:bCs/>
          <w:lang w:val="en-GB"/>
        </w:rPr>
        <w:t xml:space="preserve"> </w:t>
      </w:r>
      <w:r w:rsidR="008D5E57">
        <w:rPr>
          <w:rFonts w:cs="Arial"/>
          <w:bCs/>
          <w:lang w:val="en-GB"/>
        </w:rPr>
        <w:t xml:space="preserve">MtF </w:t>
      </w:r>
      <w:r w:rsidR="00C177E2">
        <w:rPr>
          <w:rFonts w:cs="Arial"/>
          <w:bCs/>
          <w:lang w:val="en-GB"/>
        </w:rPr>
        <w:t>trans</w:t>
      </w:r>
      <w:r w:rsidR="00493539">
        <w:rPr>
          <w:rFonts w:cs="Arial"/>
          <w:bCs/>
          <w:lang w:val="en-GB"/>
        </w:rPr>
        <w:t>gender</w:t>
      </w:r>
      <w:r w:rsidR="00C177E2">
        <w:rPr>
          <w:rFonts w:cs="Arial"/>
          <w:bCs/>
          <w:lang w:val="en-GB"/>
        </w:rPr>
        <w:t xml:space="preserve"> </w:t>
      </w:r>
      <w:r w:rsidR="008D5E57">
        <w:rPr>
          <w:rFonts w:cs="Arial"/>
          <w:bCs/>
          <w:lang w:val="en-GB"/>
        </w:rPr>
        <w:t>adolescents</w:t>
      </w:r>
      <w:r w:rsidR="00742E51">
        <w:rPr>
          <w:rFonts w:cs="Arial"/>
          <w:bCs/>
          <w:lang w:val="en-GB"/>
        </w:rPr>
        <w:t xml:space="preserve"> are offered to </w:t>
      </w:r>
      <w:r w:rsidR="0041707A">
        <w:rPr>
          <w:rFonts w:cs="Arial"/>
          <w:bCs/>
          <w:lang w:val="en-GB"/>
        </w:rPr>
        <w:t xml:space="preserve">produce </w:t>
      </w:r>
      <w:r w:rsidR="00742E51">
        <w:rPr>
          <w:rFonts w:cs="Arial"/>
          <w:bCs/>
          <w:lang w:val="en-GB"/>
        </w:rPr>
        <w:t xml:space="preserve">a semen sample </w:t>
      </w:r>
      <w:r w:rsidR="0041707A">
        <w:rPr>
          <w:rFonts w:cs="Arial"/>
          <w:bCs/>
          <w:lang w:val="en-GB"/>
        </w:rPr>
        <w:t xml:space="preserve">for cryopreservation </w:t>
      </w:r>
      <w:r w:rsidR="00742E51">
        <w:rPr>
          <w:rFonts w:cs="Arial"/>
          <w:bCs/>
          <w:lang w:val="en-GB"/>
        </w:rPr>
        <w:t xml:space="preserve">before initiation of CA. </w:t>
      </w:r>
      <w:r w:rsidR="0041707A">
        <w:rPr>
          <w:rFonts w:cs="Arial"/>
          <w:bCs/>
          <w:lang w:val="en-GB"/>
        </w:rPr>
        <w:t xml:space="preserve">MtF </w:t>
      </w:r>
      <w:r w:rsidR="00C177E2">
        <w:rPr>
          <w:rFonts w:cs="Arial"/>
          <w:bCs/>
          <w:lang w:val="en-GB"/>
        </w:rPr>
        <w:t>trans</w:t>
      </w:r>
      <w:r w:rsidR="00493539">
        <w:rPr>
          <w:rFonts w:cs="Arial"/>
          <w:bCs/>
          <w:lang w:val="en-GB"/>
        </w:rPr>
        <w:t>gender</w:t>
      </w:r>
      <w:r w:rsidR="00C177E2">
        <w:rPr>
          <w:rFonts w:cs="Arial"/>
          <w:bCs/>
          <w:lang w:val="en-GB"/>
        </w:rPr>
        <w:t xml:space="preserve"> adolescents </w:t>
      </w:r>
      <w:r w:rsidR="0041707A">
        <w:rPr>
          <w:rFonts w:cs="Arial"/>
          <w:bCs/>
          <w:lang w:val="en-GB"/>
        </w:rPr>
        <w:t xml:space="preserve">can opt to delay this procedure until a later age, however, this </w:t>
      </w:r>
      <w:r w:rsidR="00742E51">
        <w:rPr>
          <w:rFonts w:cs="Arial"/>
          <w:bCs/>
          <w:lang w:val="en-GB"/>
        </w:rPr>
        <w:t>requires cessation of trea</w:t>
      </w:r>
      <w:r w:rsidR="00C15BA0">
        <w:rPr>
          <w:rFonts w:cs="Arial"/>
          <w:bCs/>
          <w:lang w:val="en-GB"/>
        </w:rPr>
        <w:t xml:space="preserve">tment for at least three months. Cryopreservation of </w:t>
      </w:r>
      <w:r w:rsidR="0041707A">
        <w:rPr>
          <w:rFonts w:cs="Arial"/>
          <w:bCs/>
          <w:lang w:val="en-GB"/>
        </w:rPr>
        <w:t xml:space="preserve">testicular </w:t>
      </w:r>
      <w:r w:rsidR="00C15BA0">
        <w:rPr>
          <w:rFonts w:cs="Arial"/>
          <w:bCs/>
          <w:lang w:val="en-GB"/>
        </w:rPr>
        <w:t xml:space="preserve">tissue during </w:t>
      </w:r>
      <w:r w:rsidR="0041707A">
        <w:rPr>
          <w:rFonts w:cs="Arial"/>
          <w:bCs/>
          <w:lang w:val="en-GB"/>
        </w:rPr>
        <w:t>orchidectomy</w:t>
      </w:r>
      <w:r w:rsidR="00C15BA0">
        <w:rPr>
          <w:rFonts w:cs="Arial"/>
          <w:bCs/>
          <w:lang w:val="en-GB"/>
        </w:rPr>
        <w:t xml:space="preserve"> is </w:t>
      </w:r>
      <w:r w:rsidR="0041707A">
        <w:rPr>
          <w:rFonts w:cs="Arial"/>
          <w:bCs/>
          <w:lang w:val="en-GB"/>
        </w:rPr>
        <w:t>another possibility</w:t>
      </w:r>
      <w:r w:rsidR="00C15BA0">
        <w:rPr>
          <w:rFonts w:cs="Arial"/>
          <w:bCs/>
          <w:lang w:val="en-GB"/>
        </w:rPr>
        <w:t xml:space="preserve">. </w:t>
      </w:r>
      <w:r w:rsidR="0041707A">
        <w:rPr>
          <w:rFonts w:cs="Arial"/>
          <w:bCs/>
          <w:lang w:val="en-GB"/>
        </w:rPr>
        <w:t>O</w:t>
      </w:r>
      <w:r w:rsidR="00C15BA0">
        <w:rPr>
          <w:rFonts w:cs="Arial"/>
          <w:bCs/>
          <w:lang w:val="en-GB"/>
        </w:rPr>
        <w:t xml:space="preserve">nly few adolescents </w:t>
      </w:r>
      <w:r w:rsidR="00704943">
        <w:rPr>
          <w:rFonts w:cs="Arial"/>
          <w:bCs/>
          <w:lang w:val="en-GB"/>
        </w:rPr>
        <w:t>choose</w:t>
      </w:r>
      <w:r w:rsidR="00C15BA0">
        <w:rPr>
          <w:rFonts w:cs="Arial"/>
          <w:bCs/>
          <w:lang w:val="en-GB"/>
        </w:rPr>
        <w:t xml:space="preserve"> to store semen or testicular tissue</w:t>
      </w:r>
      <w:r w:rsidR="0041707A">
        <w:rPr>
          <w:rFonts w:cs="Arial"/>
          <w:bCs/>
          <w:lang w:val="en-GB"/>
        </w:rPr>
        <w:t>; those</w:t>
      </w:r>
      <w:r w:rsidR="00C15BA0">
        <w:rPr>
          <w:rFonts w:cs="Arial"/>
          <w:bCs/>
          <w:lang w:val="en-GB"/>
        </w:rPr>
        <w:t xml:space="preserve"> who do</w:t>
      </w:r>
      <w:r w:rsidR="000E04DD">
        <w:rPr>
          <w:rFonts w:cs="Arial"/>
          <w:bCs/>
          <w:lang w:val="en-GB"/>
        </w:rPr>
        <w:t>,</w:t>
      </w:r>
      <w:r w:rsidR="00C15BA0">
        <w:rPr>
          <w:rFonts w:cs="Arial"/>
          <w:bCs/>
          <w:lang w:val="en-GB"/>
        </w:rPr>
        <w:t xml:space="preserve"> most often store a semen sample before initiation of CA.</w:t>
      </w:r>
    </w:p>
    <w:p w14:paraId="79D180D7" w14:textId="527F28DA" w:rsidR="00006A98" w:rsidRDefault="00006A98" w:rsidP="00006A98">
      <w:pPr>
        <w:spacing w:before="120" w:after="0" w:line="240" w:lineRule="auto"/>
        <w:rPr>
          <w:lang w:val="en-GB"/>
        </w:rPr>
      </w:pPr>
      <w:r w:rsidRPr="00EA33B5">
        <w:rPr>
          <w:b/>
          <w:lang w:val="en-GB"/>
        </w:rPr>
        <w:t xml:space="preserve">Table </w:t>
      </w:r>
      <w:r w:rsidR="00624AB0">
        <w:rPr>
          <w:b/>
          <w:lang w:val="en-GB"/>
        </w:rPr>
        <w:t>2</w:t>
      </w:r>
      <w:r w:rsidRPr="00EA33B5">
        <w:rPr>
          <w:b/>
          <w:lang w:val="en-GB"/>
        </w:rPr>
        <w:t>.</w:t>
      </w:r>
      <w:r>
        <w:rPr>
          <w:lang w:val="en-GB"/>
        </w:rPr>
        <w:t xml:space="preserve"> Summary of recorded parameters during follow-up</w:t>
      </w:r>
    </w:p>
    <w:tbl>
      <w:tblPr>
        <w:tblStyle w:val="Onopgemaaktetabel21"/>
        <w:tblW w:w="0" w:type="auto"/>
        <w:tblLook w:val="04A0" w:firstRow="1" w:lastRow="0" w:firstColumn="1" w:lastColumn="0" w:noHBand="0" w:noVBand="1"/>
      </w:tblPr>
      <w:tblGrid>
        <w:gridCol w:w="2235"/>
        <w:gridCol w:w="4677"/>
      </w:tblGrid>
      <w:tr w:rsidR="00006A98" w:rsidRPr="00AE504E" w14:paraId="2E7BEC9E" w14:textId="77777777" w:rsidTr="00AA37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548A07A" w14:textId="77777777" w:rsidR="00006A98" w:rsidRPr="00AE504E" w:rsidRDefault="00006A98" w:rsidP="005431A2">
            <w:pPr>
              <w:rPr>
                <w:sz w:val="18"/>
                <w:szCs w:val="18"/>
                <w:lang w:val="en-GB"/>
              </w:rPr>
            </w:pPr>
          </w:p>
        </w:tc>
        <w:tc>
          <w:tcPr>
            <w:tcW w:w="4677" w:type="dxa"/>
          </w:tcPr>
          <w:p w14:paraId="7E416991" w14:textId="77777777" w:rsidR="00006A98" w:rsidRPr="00AE504E" w:rsidRDefault="00006A98" w:rsidP="005431A2">
            <w:pPr>
              <w:ind w:left="360"/>
              <w:cnfStyle w:val="100000000000" w:firstRow="1" w:lastRow="0" w:firstColumn="0" w:lastColumn="0" w:oddVBand="0" w:evenVBand="0" w:oddHBand="0" w:evenHBand="0" w:firstRowFirstColumn="0" w:firstRowLastColumn="0" w:lastRowFirstColumn="0" w:lastRowLastColumn="0"/>
              <w:rPr>
                <w:sz w:val="18"/>
                <w:szCs w:val="18"/>
                <w:lang w:val="en-GB"/>
              </w:rPr>
            </w:pPr>
            <w:r w:rsidRPr="00AE504E">
              <w:rPr>
                <w:sz w:val="18"/>
                <w:szCs w:val="18"/>
                <w:lang w:val="en-GB"/>
              </w:rPr>
              <w:t>Parameters</w:t>
            </w:r>
          </w:p>
        </w:tc>
      </w:tr>
      <w:tr w:rsidR="00006A98" w:rsidRPr="002A729A" w14:paraId="427286DA" w14:textId="77777777" w:rsidTr="00AA3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331367F" w14:textId="77777777" w:rsidR="00006A98" w:rsidRPr="00AE504E" w:rsidRDefault="00006A98" w:rsidP="005431A2">
            <w:pPr>
              <w:rPr>
                <w:sz w:val="18"/>
                <w:szCs w:val="18"/>
                <w:lang w:val="en-GB"/>
              </w:rPr>
            </w:pPr>
            <w:r w:rsidRPr="00AE504E">
              <w:rPr>
                <w:sz w:val="18"/>
                <w:szCs w:val="18"/>
                <w:lang w:val="en-GB"/>
              </w:rPr>
              <w:t>History and life style</w:t>
            </w:r>
          </w:p>
          <w:p w14:paraId="7204A2D1" w14:textId="77777777" w:rsidR="00006A98" w:rsidRPr="00AE504E" w:rsidRDefault="00006A98" w:rsidP="005431A2">
            <w:pPr>
              <w:rPr>
                <w:b w:val="0"/>
                <w:sz w:val="18"/>
                <w:szCs w:val="18"/>
                <w:lang w:val="en-GB"/>
              </w:rPr>
            </w:pPr>
            <w:r w:rsidRPr="00AE504E">
              <w:rPr>
                <w:b w:val="0"/>
                <w:sz w:val="18"/>
                <w:szCs w:val="18"/>
                <w:lang w:val="en-GB"/>
              </w:rPr>
              <w:t>Every six months</w:t>
            </w:r>
          </w:p>
        </w:tc>
        <w:tc>
          <w:tcPr>
            <w:tcW w:w="4677" w:type="dxa"/>
          </w:tcPr>
          <w:p w14:paraId="36E70F5B" w14:textId="77777777" w:rsidR="00006A98" w:rsidRPr="00AE504E" w:rsidRDefault="00006A98" w:rsidP="005431A2">
            <w:pPr>
              <w:ind w:left="360"/>
              <w:cnfStyle w:val="000000100000" w:firstRow="0" w:lastRow="0" w:firstColumn="0" w:lastColumn="0" w:oddVBand="0" w:evenVBand="0" w:oddHBand="1" w:evenHBand="0" w:firstRowFirstColumn="0" w:firstRowLastColumn="0" w:lastRowFirstColumn="0" w:lastRowLastColumn="0"/>
              <w:rPr>
                <w:sz w:val="18"/>
                <w:szCs w:val="18"/>
                <w:lang w:val="en-GB"/>
              </w:rPr>
            </w:pPr>
            <w:r w:rsidRPr="00AE504E">
              <w:rPr>
                <w:sz w:val="18"/>
                <w:szCs w:val="18"/>
                <w:lang w:val="en-GB"/>
              </w:rPr>
              <w:t>Family history</w:t>
            </w:r>
          </w:p>
          <w:p w14:paraId="5944F165" w14:textId="77777777" w:rsidR="00006A98" w:rsidRPr="00AE504E" w:rsidRDefault="00006A98" w:rsidP="005431A2">
            <w:pPr>
              <w:ind w:left="360"/>
              <w:cnfStyle w:val="000000100000" w:firstRow="0" w:lastRow="0" w:firstColumn="0" w:lastColumn="0" w:oddVBand="0" w:evenVBand="0" w:oddHBand="1" w:evenHBand="0" w:firstRowFirstColumn="0" w:firstRowLastColumn="0" w:lastRowFirstColumn="0" w:lastRowLastColumn="0"/>
              <w:rPr>
                <w:sz w:val="18"/>
                <w:szCs w:val="18"/>
                <w:lang w:val="en-GB"/>
              </w:rPr>
            </w:pPr>
            <w:r w:rsidRPr="00AE504E">
              <w:rPr>
                <w:sz w:val="18"/>
                <w:szCs w:val="18"/>
                <w:lang w:val="en-GB"/>
              </w:rPr>
              <w:t>Personal medical history</w:t>
            </w:r>
          </w:p>
          <w:p w14:paraId="44ED99A4" w14:textId="77777777" w:rsidR="00006A98" w:rsidRPr="00AE504E" w:rsidRDefault="00006A98" w:rsidP="005431A2">
            <w:pPr>
              <w:ind w:left="360"/>
              <w:cnfStyle w:val="000000100000" w:firstRow="0" w:lastRow="0" w:firstColumn="0" w:lastColumn="0" w:oddVBand="0" w:evenVBand="0" w:oddHBand="1" w:evenHBand="0" w:firstRowFirstColumn="0" w:firstRowLastColumn="0" w:lastRowFirstColumn="0" w:lastRowLastColumn="0"/>
              <w:rPr>
                <w:sz w:val="18"/>
                <w:szCs w:val="18"/>
                <w:lang w:val="en-GB"/>
              </w:rPr>
            </w:pPr>
            <w:r w:rsidRPr="00AE504E">
              <w:rPr>
                <w:sz w:val="18"/>
                <w:szCs w:val="18"/>
                <w:lang w:val="en-GB"/>
              </w:rPr>
              <w:t>Psychiatric comorbidity</w:t>
            </w:r>
          </w:p>
          <w:p w14:paraId="6A2BFC45" w14:textId="77777777" w:rsidR="00006A98" w:rsidRPr="00AE504E" w:rsidRDefault="00006A98" w:rsidP="005431A2">
            <w:pPr>
              <w:ind w:left="360"/>
              <w:cnfStyle w:val="000000100000" w:firstRow="0" w:lastRow="0" w:firstColumn="0" w:lastColumn="0" w:oddVBand="0" w:evenVBand="0" w:oddHBand="1" w:evenHBand="0" w:firstRowFirstColumn="0" w:firstRowLastColumn="0" w:lastRowFirstColumn="0" w:lastRowLastColumn="0"/>
              <w:rPr>
                <w:sz w:val="18"/>
                <w:szCs w:val="18"/>
                <w:lang w:val="en-GB"/>
              </w:rPr>
            </w:pPr>
            <w:r w:rsidRPr="00AE504E">
              <w:rPr>
                <w:sz w:val="18"/>
                <w:szCs w:val="18"/>
                <w:lang w:val="en-GB"/>
              </w:rPr>
              <w:t>Social situation</w:t>
            </w:r>
          </w:p>
          <w:p w14:paraId="3479DF26" w14:textId="77777777" w:rsidR="00006A98" w:rsidRPr="00AE504E" w:rsidRDefault="00006A98" w:rsidP="005431A2">
            <w:pPr>
              <w:ind w:left="360"/>
              <w:cnfStyle w:val="000000100000" w:firstRow="0" w:lastRow="0" w:firstColumn="0" w:lastColumn="0" w:oddVBand="0" w:evenVBand="0" w:oddHBand="1" w:evenHBand="0" w:firstRowFirstColumn="0" w:firstRowLastColumn="0" w:lastRowFirstColumn="0" w:lastRowLastColumn="0"/>
              <w:rPr>
                <w:sz w:val="18"/>
                <w:szCs w:val="18"/>
                <w:lang w:val="en-GB"/>
              </w:rPr>
            </w:pPr>
            <w:r w:rsidRPr="00AE504E">
              <w:rPr>
                <w:sz w:val="18"/>
                <w:szCs w:val="18"/>
                <w:lang w:val="en-GB"/>
              </w:rPr>
              <w:t>(side) effects of treatment</w:t>
            </w:r>
          </w:p>
        </w:tc>
      </w:tr>
      <w:tr w:rsidR="00006A98" w:rsidRPr="00AE504E" w14:paraId="71C6017C" w14:textId="77777777" w:rsidTr="00AA3779">
        <w:tc>
          <w:tcPr>
            <w:cnfStyle w:val="001000000000" w:firstRow="0" w:lastRow="0" w:firstColumn="1" w:lastColumn="0" w:oddVBand="0" w:evenVBand="0" w:oddHBand="0" w:evenHBand="0" w:firstRowFirstColumn="0" w:firstRowLastColumn="0" w:lastRowFirstColumn="0" w:lastRowLastColumn="0"/>
            <w:tcW w:w="2235" w:type="dxa"/>
          </w:tcPr>
          <w:p w14:paraId="3EAC2F10" w14:textId="77777777" w:rsidR="00006A98" w:rsidRPr="00AE504E" w:rsidRDefault="00006A98" w:rsidP="005431A2">
            <w:pPr>
              <w:rPr>
                <w:sz w:val="18"/>
                <w:szCs w:val="18"/>
                <w:lang w:val="en-GB"/>
              </w:rPr>
            </w:pPr>
            <w:r w:rsidRPr="00AE504E">
              <w:rPr>
                <w:sz w:val="18"/>
                <w:szCs w:val="18"/>
                <w:lang w:val="en-GB"/>
              </w:rPr>
              <w:t>Life style</w:t>
            </w:r>
          </w:p>
          <w:p w14:paraId="6E9658CB" w14:textId="77777777" w:rsidR="00006A98" w:rsidRPr="00AE504E" w:rsidRDefault="00006A98" w:rsidP="005431A2">
            <w:pPr>
              <w:rPr>
                <w:b w:val="0"/>
                <w:sz w:val="18"/>
                <w:szCs w:val="18"/>
                <w:lang w:val="en-GB"/>
              </w:rPr>
            </w:pPr>
            <w:r w:rsidRPr="00AE504E">
              <w:rPr>
                <w:b w:val="0"/>
                <w:sz w:val="18"/>
                <w:szCs w:val="18"/>
                <w:lang w:val="en-GB"/>
              </w:rPr>
              <w:t>Every six months</w:t>
            </w:r>
          </w:p>
        </w:tc>
        <w:tc>
          <w:tcPr>
            <w:tcW w:w="4677" w:type="dxa"/>
          </w:tcPr>
          <w:p w14:paraId="18D957BD" w14:textId="77777777" w:rsidR="00006A98" w:rsidRPr="00AE504E" w:rsidRDefault="00006A98" w:rsidP="005431A2">
            <w:pPr>
              <w:ind w:left="360"/>
              <w:cnfStyle w:val="000000000000" w:firstRow="0" w:lastRow="0" w:firstColumn="0" w:lastColumn="0" w:oddVBand="0" w:evenVBand="0" w:oddHBand="0" w:evenHBand="0" w:firstRowFirstColumn="0" w:firstRowLastColumn="0" w:lastRowFirstColumn="0" w:lastRowLastColumn="0"/>
              <w:rPr>
                <w:sz w:val="18"/>
                <w:szCs w:val="18"/>
                <w:lang w:val="en-GB"/>
              </w:rPr>
            </w:pPr>
            <w:r w:rsidRPr="00AE504E">
              <w:rPr>
                <w:sz w:val="18"/>
                <w:szCs w:val="18"/>
                <w:lang w:val="en-GB"/>
              </w:rPr>
              <w:t>Smoking habits</w:t>
            </w:r>
          </w:p>
          <w:p w14:paraId="6507A807" w14:textId="77777777" w:rsidR="00006A98" w:rsidRPr="00AE504E" w:rsidRDefault="00006A98" w:rsidP="005431A2">
            <w:pPr>
              <w:ind w:left="360"/>
              <w:cnfStyle w:val="000000000000" w:firstRow="0" w:lastRow="0" w:firstColumn="0" w:lastColumn="0" w:oddVBand="0" w:evenVBand="0" w:oddHBand="0" w:evenHBand="0" w:firstRowFirstColumn="0" w:firstRowLastColumn="0" w:lastRowFirstColumn="0" w:lastRowLastColumn="0"/>
              <w:rPr>
                <w:sz w:val="18"/>
                <w:szCs w:val="18"/>
                <w:lang w:val="en-GB"/>
              </w:rPr>
            </w:pPr>
            <w:r w:rsidRPr="00AE504E">
              <w:rPr>
                <w:sz w:val="18"/>
                <w:szCs w:val="18"/>
                <w:lang w:val="en-GB"/>
              </w:rPr>
              <w:t>Alcohol consumption</w:t>
            </w:r>
          </w:p>
        </w:tc>
      </w:tr>
      <w:tr w:rsidR="00006A98" w:rsidRPr="00AE504E" w14:paraId="7A5806A8" w14:textId="77777777" w:rsidTr="00AA3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433F64B" w14:textId="77777777" w:rsidR="00006A98" w:rsidRPr="00AE504E" w:rsidRDefault="00006A98" w:rsidP="005431A2">
            <w:pPr>
              <w:rPr>
                <w:sz w:val="18"/>
                <w:szCs w:val="18"/>
                <w:lang w:val="en-GB"/>
              </w:rPr>
            </w:pPr>
            <w:r w:rsidRPr="00AE504E">
              <w:rPr>
                <w:sz w:val="18"/>
                <w:szCs w:val="18"/>
                <w:lang w:val="en-GB"/>
              </w:rPr>
              <w:t>Physical examination</w:t>
            </w:r>
          </w:p>
          <w:p w14:paraId="687C8C03" w14:textId="77777777" w:rsidR="00006A98" w:rsidRPr="00AE504E" w:rsidRDefault="00006A98" w:rsidP="005431A2">
            <w:pPr>
              <w:rPr>
                <w:sz w:val="18"/>
                <w:szCs w:val="18"/>
                <w:lang w:val="en-GB"/>
              </w:rPr>
            </w:pPr>
            <w:r w:rsidRPr="00AE504E">
              <w:rPr>
                <w:b w:val="0"/>
                <w:sz w:val="18"/>
                <w:szCs w:val="18"/>
                <w:lang w:val="en-GB"/>
              </w:rPr>
              <w:t>Every six months</w:t>
            </w:r>
          </w:p>
        </w:tc>
        <w:tc>
          <w:tcPr>
            <w:tcW w:w="4677" w:type="dxa"/>
          </w:tcPr>
          <w:p w14:paraId="0D143718" w14:textId="77777777" w:rsidR="00006A98" w:rsidRPr="00AE504E" w:rsidRDefault="00006A98" w:rsidP="005431A2">
            <w:pPr>
              <w:ind w:left="360"/>
              <w:cnfStyle w:val="000000100000" w:firstRow="0" w:lastRow="0" w:firstColumn="0" w:lastColumn="0" w:oddVBand="0" w:evenVBand="0" w:oddHBand="1" w:evenHBand="0" w:firstRowFirstColumn="0" w:firstRowLastColumn="0" w:lastRowFirstColumn="0" w:lastRowLastColumn="0"/>
              <w:rPr>
                <w:sz w:val="18"/>
                <w:szCs w:val="18"/>
                <w:lang w:val="en-GB"/>
              </w:rPr>
            </w:pPr>
            <w:r w:rsidRPr="00AE504E">
              <w:rPr>
                <w:sz w:val="18"/>
                <w:szCs w:val="18"/>
                <w:lang w:val="en-GB"/>
              </w:rPr>
              <w:t>Anthropometry</w:t>
            </w:r>
          </w:p>
          <w:p w14:paraId="5B924BB0" w14:textId="77777777" w:rsidR="00006A98" w:rsidRPr="00AE504E" w:rsidRDefault="00006A98" w:rsidP="005431A2">
            <w:pPr>
              <w:ind w:left="360"/>
              <w:cnfStyle w:val="000000100000" w:firstRow="0" w:lastRow="0" w:firstColumn="0" w:lastColumn="0" w:oddVBand="0" w:evenVBand="0" w:oddHBand="1" w:evenHBand="0" w:firstRowFirstColumn="0" w:firstRowLastColumn="0" w:lastRowFirstColumn="0" w:lastRowLastColumn="0"/>
              <w:rPr>
                <w:sz w:val="18"/>
                <w:szCs w:val="18"/>
                <w:lang w:val="en-GB"/>
              </w:rPr>
            </w:pPr>
            <w:r w:rsidRPr="00AE504E">
              <w:rPr>
                <w:sz w:val="18"/>
                <w:szCs w:val="18"/>
                <w:lang w:val="en-GB"/>
              </w:rPr>
              <w:t>Blood pressure</w:t>
            </w:r>
          </w:p>
          <w:p w14:paraId="166E9314" w14:textId="77777777" w:rsidR="00006A98" w:rsidRPr="00AE504E" w:rsidRDefault="00006A98" w:rsidP="005431A2">
            <w:pPr>
              <w:ind w:left="360"/>
              <w:cnfStyle w:val="000000100000" w:firstRow="0" w:lastRow="0" w:firstColumn="0" w:lastColumn="0" w:oddVBand="0" w:evenVBand="0" w:oddHBand="1" w:evenHBand="0" w:firstRowFirstColumn="0" w:firstRowLastColumn="0" w:lastRowFirstColumn="0" w:lastRowLastColumn="0"/>
              <w:rPr>
                <w:sz w:val="18"/>
                <w:szCs w:val="18"/>
                <w:lang w:val="en-GB"/>
              </w:rPr>
            </w:pPr>
            <w:r w:rsidRPr="00AE504E">
              <w:rPr>
                <w:sz w:val="18"/>
                <w:szCs w:val="18"/>
                <w:lang w:val="en-GB"/>
              </w:rPr>
              <w:t>Tanner stage</w:t>
            </w:r>
          </w:p>
          <w:p w14:paraId="2B0D2E93" w14:textId="77777777" w:rsidR="00006A98" w:rsidRPr="00AE504E" w:rsidRDefault="00006A98" w:rsidP="005431A2">
            <w:pPr>
              <w:ind w:left="360"/>
              <w:cnfStyle w:val="000000100000" w:firstRow="0" w:lastRow="0" w:firstColumn="0" w:lastColumn="0" w:oddVBand="0" w:evenVBand="0" w:oddHBand="1" w:evenHBand="0" w:firstRowFirstColumn="0" w:firstRowLastColumn="0" w:lastRowFirstColumn="0" w:lastRowLastColumn="0"/>
              <w:rPr>
                <w:sz w:val="18"/>
                <w:szCs w:val="18"/>
                <w:lang w:val="en-GB"/>
              </w:rPr>
            </w:pPr>
            <w:r w:rsidRPr="00AE504E">
              <w:rPr>
                <w:sz w:val="18"/>
                <w:szCs w:val="18"/>
                <w:lang w:val="en-GB"/>
              </w:rPr>
              <w:t>FtM: Acne, hirsutism</w:t>
            </w:r>
          </w:p>
          <w:p w14:paraId="33C07BBE" w14:textId="77777777" w:rsidR="00006A98" w:rsidRPr="00AE504E" w:rsidRDefault="00006A98" w:rsidP="005431A2">
            <w:pPr>
              <w:ind w:left="360"/>
              <w:cnfStyle w:val="000000100000" w:firstRow="0" w:lastRow="0" w:firstColumn="0" w:lastColumn="0" w:oddVBand="0" w:evenVBand="0" w:oddHBand="1" w:evenHBand="0" w:firstRowFirstColumn="0" w:firstRowLastColumn="0" w:lastRowFirstColumn="0" w:lastRowLastColumn="0"/>
              <w:rPr>
                <w:sz w:val="18"/>
                <w:szCs w:val="18"/>
                <w:lang w:val="en-GB"/>
              </w:rPr>
            </w:pPr>
            <w:r w:rsidRPr="00AE504E">
              <w:rPr>
                <w:sz w:val="18"/>
                <w:szCs w:val="18"/>
                <w:lang w:val="en-GB"/>
              </w:rPr>
              <w:t>MtF: Breast development</w:t>
            </w:r>
          </w:p>
        </w:tc>
      </w:tr>
      <w:tr w:rsidR="00006A98" w:rsidRPr="00AD3EE4" w14:paraId="20C45045" w14:textId="77777777" w:rsidTr="00AA3779">
        <w:tc>
          <w:tcPr>
            <w:cnfStyle w:val="001000000000" w:firstRow="0" w:lastRow="0" w:firstColumn="1" w:lastColumn="0" w:oddVBand="0" w:evenVBand="0" w:oddHBand="0" w:evenHBand="0" w:firstRowFirstColumn="0" w:firstRowLastColumn="0" w:lastRowFirstColumn="0" w:lastRowLastColumn="0"/>
            <w:tcW w:w="2235" w:type="dxa"/>
          </w:tcPr>
          <w:p w14:paraId="1E0444AF" w14:textId="77777777" w:rsidR="00006A98" w:rsidRPr="00AE504E" w:rsidRDefault="00006A98" w:rsidP="005431A2">
            <w:pPr>
              <w:rPr>
                <w:sz w:val="18"/>
                <w:szCs w:val="18"/>
                <w:lang w:val="en-GB"/>
              </w:rPr>
            </w:pPr>
            <w:r w:rsidRPr="00AE504E">
              <w:rPr>
                <w:sz w:val="18"/>
                <w:szCs w:val="18"/>
                <w:lang w:val="en-GB"/>
              </w:rPr>
              <w:t>Biochemical</w:t>
            </w:r>
          </w:p>
          <w:p w14:paraId="24CBA58C" w14:textId="77777777" w:rsidR="00006A98" w:rsidRPr="00AE504E" w:rsidRDefault="00006A98" w:rsidP="005431A2">
            <w:pPr>
              <w:rPr>
                <w:sz w:val="18"/>
                <w:szCs w:val="18"/>
                <w:lang w:val="en-GB"/>
              </w:rPr>
            </w:pPr>
            <w:r w:rsidRPr="00AE504E">
              <w:rPr>
                <w:b w:val="0"/>
                <w:sz w:val="18"/>
                <w:szCs w:val="18"/>
                <w:lang w:val="en-GB"/>
              </w:rPr>
              <w:t>Every six months</w:t>
            </w:r>
          </w:p>
        </w:tc>
        <w:tc>
          <w:tcPr>
            <w:tcW w:w="4677" w:type="dxa"/>
          </w:tcPr>
          <w:p w14:paraId="339AB9A3" w14:textId="77777777" w:rsidR="00006A98" w:rsidRPr="00AE504E" w:rsidRDefault="00006A98" w:rsidP="005431A2">
            <w:pPr>
              <w:ind w:left="360"/>
              <w:cnfStyle w:val="000000000000" w:firstRow="0" w:lastRow="0" w:firstColumn="0" w:lastColumn="0" w:oddVBand="0" w:evenVBand="0" w:oddHBand="0" w:evenHBand="0" w:firstRowFirstColumn="0" w:firstRowLastColumn="0" w:lastRowFirstColumn="0" w:lastRowLastColumn="0"/>
              <w:rPr>
                <w:sz w:val="18"/>
                <w:szCs w:val="18"/>
                <w:lang w:val="en-GB"/>
              </w:rPr>
            </w:pPr>
            <w:r w:rsidRPr="00AE504E">
              <w:rPr>
                <w:sz w:val="18"/>
                <w:szCs w:val="18"/>
                <w:lang w:val="en-GB"/>
              </w:rPr>
              <w:t xml:space="preserve">Complete blood count (hemoglobin/hematocrit) </w:t>
            </w:r>
          </w:p>
          <w:p w14:paraId="51D06A85" w14:textId="77777777" w:rsidR="00006A98" w:rsidRPr="00AE504E" w:rsidRDefault="00006A98" w:rsidP="005431A2">
            <w:pPr>
              <w:ind w:left="360"/>
              <w:cnfStyle w:val="000000000000" w:firstRow="0" w:lastRow="0" w:firstColumn="0" w:lastColumn="0" w:oddVBand="0" w:evenVBand="0" w:oddHBand="0" w:evenHBand="0" w:firstRowFirstColumn="0" w:firstRowLastColumn="0" w:lastRowFirstColumn="0" w:lastRowLastColumn="0"/>
              <w:rPr>
                <w:sz w:val="18"/>
                <w:szCs w:val="18"/>
                <w:lang w:val="en-GB"/>
              </w:rPr>
            </w:pPr>
            <w:r w:rsidRPr="00AE504E">
              <w:rPr>
                <w:sz w:val="18"/>
                <w:szCs w:val="18"/>
                <w:lang w:val="en-GB"/>
              </w:rPr>
              <w:t>Electrolytes</w:t>
            </w:r>
          </w:p>
          <w:p w14:paraId="43935505" w14:textId="77777777" w:rsidR="00006A98" w:rsidRPr="00AE504E" w:rsidRDefault="00006A98" w:rsidP="005431A2">
            <w:pPr>
              <w:ind w:left="360"/>
              <w:cnfStyle w:val="000000000000" w:firstRow="0" w:lastRow="0" w:firstColumn="0" w:lastColumn="0" w:oddVBand="0" w:evenVBand="0" w:oddHBand="0" w:evenHBand="0" w:firstRowFirstColumn="0" w:firstRowLastColumn="0" w:lastRowFirstColumn="0" w:lastRowLastColumn="0"/>
              <w:rPr>
                <w:sz w:val="18"/>
                <w:szCs w:val="18"/>
                <w:lang w:val="en-GB"/>
              </w:rPr>
            </w:pPr>
            <w:r w:rsidRPr="00AE504E">
              <w:rPr>
                <w:sz w:val="18"/>
                <w:szCs w:val="18"/>
                <w:lang w:val="en-GB"/>
              </w:rPr>
              <w:t>Liver enzymes (AST/ALT)</w:t>
            </w:r>
          </w:p>
          <w:p w14:paraId="06317F74" w14:textId="77777777" w:rsidR="00006A98" w:rsidRPr="00AE504E" w:rsidRDefault="00006A98" w:rsidP="005431A2">
            <w:pPr>
              <w:ind w:left="360"/>
              <w:cnfStyle w:val="000000000000" w:firstRow="0" w:lastRow="0" w:firstColumn="0" w:lastColumn="0" w:oddVBand="0" w:evenVBand="0" w:oddHBand="0" w:evenHBand="0" w:firstRowFirstColumn="0" w:firstRowLastColumn="0" w:lastRowFirstColumn="0" w:lastRowLastColumn="0"/>
              <w:rPr>
                <w:sz w:val="18"/>
                <w:szCs w:val="18"/>
                <w:lang w:val="en-GB"/>
              </w:rPr>
            </w:pPr>
            <w:r w:rsidRPr="00AE504E">
              <w:rPr>
                <w:sz w:val="18"/>
                <w:szCs w:val="18"/>
                <w:lang w:val="en-GB"/>
              </w:rPr>
              <w:t>Renal function (serum creatinine, urine sample)</w:t>
            </w:r>
          </w:p>
          <w:p w14:paraId="33F3486D" w14:textId="77777777" w:rsidR="00006A98" w:rsidRPr="00AE504E" w:rsidRDefault="00006A98" w:rsidP="005431A2">
            <w:pPr>
              <w:ind w:left="360"/>
              <w:cnfStyle w:val="000000000000" w:firstRow="0" w:lastRow="0" w:firstColumn="0" w:lastColumn="0" w:oddVBand="0" w:evenVBand="0" w:oddHBand="0" w:evenHBand="0" w:firstRowFirstColumn="0" w:firstRowLastColumn="0" w:lastRowFirstColumn="0" w:lastRowLastColumn="0"/>
              <w:rPr>
                <w:sz w:val="18"/>
                <w:szCs w:val="18"/>
                <w:lang w:val="en-GB"/>
              </w:rPr>
            </w:pPr>
            <w:r w:rsidRPr="00AE504E">
              <w:rPr>
                <w:sz w:val="18"/>
                <w:szCs w:val="18"/>
                <w:lang w:val="en-GB"/>
              </w:rPr>
              <w:t>Thyroid function (TSH/fT4)</w:t>
            </w:r>
          </w:p>
          <w:p w14:paraId="172E5BC9" w14:textId="1C1A3830" w:rsidR="00006A98" w:rsidRPr="00AE504E" w:rsidRDefault="00006A98" w:rsidP="005431A2">
            <w:pPr>
              <w:ind w:left="360"/>
              <w:cnfStyle w:val="000000000000" w:firstRow="0" w:lastRow="0" w:firstColumn="0" w:lastColumn="0" w:oddVBand="0" w:evenVBand="0" w:oddHBand="0" w:evenHBand="0" w:firstRowFirstColumn="0" w:firstRowLastColumn="0" w:lastRowFirstColumn="0" w:lastRowLastColumn="0"/>
              <w:rPr>
                <w:sz w:val="18"/>
                <w:szCs w:val="18"/>
                <w:lang w:val="en-GB"/>
              </w:rPr>
            </w:pPr>
            <w:r w:rsidRPr="00AE504E">
              <w:rPr>
                <w:sz w:val="18"/>
                <w:szCs w:val="18"/>
                <w:lang w:val="en-GB"/>
              </w:rPr>
              <w:t xml:space="preserve">Luteinizing hormone </w:t>
            </w:r>
            <w:r w:rsidR="00AD3EE4">
              <w:rPr>
                <w:sz w:val="18"/>
                <w:szCs w:val="18"/>
                <w:lang w:val="en-GB"/>
              </w:rPr>
              <w:t>(LH)</w:t>
            </w:r>
          </w:p>
          <w:p w14:paraId="6883EDDB" w14:textId="45B1E43F" w:rsidR="00006A98" w:rsidRPr="00AE504E" w:rsidRDefault="00006A98" w:rsidP="005431A2">
            <w:pPr>
              <w:ind w:left="360"/>
              <w:cnfStyle w:val="000000000000" w:firstRow="0" w:lastRow="0" w:firstColumn="0" w:lastColumn="0" w:oddVBand="0" w:evenVBand="0" w:oddHBand="0" w:evenHBand="0" w:firstRowFirstColumn="0" w:firstRowLastColumn="0" w:lastRowFirstColumn="0" w:lastRowLastColumn="0"/>
              <w:rPr>
                <w:sz w:val="18"/>
                <w:szCs w:val="18"/>
                <w:lang w:val="en-GB"/>
              </w:rPr>
            </w:pPr>
            <w:r w:rsidRPr="00AE504E">
              <w:rPr>
                <w:sz w:val="18"/>
                <w:szCs w:val="18"/>
                <w:lang w:val="en-GB"/>
              </w:rPr>
              <w:t xml:space="preserve">Follicular stimulating hormone </w:t>
            </w:r>
            <w:r w:rsidR="00AD3EE4">
              <w:rPr>
                <w:sz w:val="18"/>
                <w:szCs w:val="18"/>
                <w:lang w:val="en-GB"/>
              </w:rPr>
              <w:t>(FSH)</w:t>
            </w:r>
          </w:p>
          <w:p w14:paraId="2848E179" w14:textId="580276DA" w:rsidR="00006A98" w:rsidRPr="00AE504E" w:rsidRDefault="00006A98" w:rsidP="005431A2">
            <w:pPr>
              <w:ind w:left="360"/>
              <w:cnfStyle w:val="000000000000" w:firstRow="0" w:lastRow="0" w:firstColumn="0" w:lastColumn="0" w:oddVBand="0" w:evenVBand="0" w:oddHBand="0" w:evenHBand="0" w:firstRowFirstColumn="0" w:firstRowLastColumn="0" w:lastRowFirstColumn="0" w:lastRowLastColumn="0"/>
              <w:rPr>
                <w:sz w:val="18"/>
                <w:szCs w:val="18"/>
                <w:lang w:val="en-GB"/>
              </w:rPr>
            </w:pPr>
            <w:r w:rsidRPr="00AE504E">
              <w:rPr>
                <w:sz w:val="18"/>
                <w:szCs w:val="18"/>
                <w:lang w:val="en-GB"/>
              </w:rPr>
              <w:t>Estradiol</w:t>
            </w:r>
            <w:r w:rsidR="00AD3EE4">
              <w:rPr>
                <w:sz w:val="18"/>
                <w:szCs w:val="18"/>
                <w:lang w:val="en-GB"/>
              </w:rPr>
              <w:t xml:space="preserve"> (E2)</w:t>
            </w:r>
          </w:p>
          <w:p w14:paraId="0EFE9C8D" w14:textId="7C13453A" w:rsidR="00006A98" w:rsidRPr="00AE504E" w:rsidRDefault="00006A98" w:rsidP="005431A2">
            <w:pPr>
              <w:ind w:left="360"/>
              <w:cnfStyle w:val="000000000000" w:firstRow="0" w:lastRow="0" w:firstColumn="0" w:lastColumn="0" w:oddVBand="0" w:evenVBand="0" w:oddHBand="0" w:evenHBand="0" w:firstRowFirstColumn="0" w:firstRowLastColumn="0" w:lastRowFirstColumn="0" w:lastRowLastColumn="0"/>
              <w:rPr>
                <w:sz w:val="18"/>
                <w:szCs w:val="18"/>
                <w:lang w:val="en-GB"/>
              </w:rPr>
            </w:pPr>
            <w:r w:rsidRPr="00AE504E">
              <w:rPr>
                <w:sz w:val="18"/>
                <w:szCs w:val="18"/>
                <w:lang w:val="en-GB"/>
              </w:rPr>
              <w:t>Total and free testosterone</w:t>
            </w:r>
            <w:r w:rsidR="00AD3EE4">
              <w:rPr>
                <w:sz w:val="18"/>
                <w:szCs w:val="18"/>
                <w:lang w:val="en-GB"/>
              </w:rPr>
              <w:t xml:space="preserve"> (T and fT)</w:t>
            </w:r>
            <w:r w:rsidRPr="00AE504E">
              <w:rPr>
                <w:sz w:val="18"/>
                <w:szCs w:val="18"/>
                <w:lang w:val="en-GB"/>
              </w:rPr>
              <w:t xml:space="preserve"> </w:t>
            </w:r>
          </w:p>
          <w:p w14:paraId="50D54942" w14:textId="77777777" w:rsidR="00006A98" w:rsidRDefault="00006A98" w:rsidP="005431A2">
            <w:pPr>
              <w:ind w:left="360"/>
              <w:cnfStyle w:val="000000000000" w:firstRow="0" w:lastRow="0" w:firstColumn="0" w:lastColumn="0" w:oddVBand="0" w:evenVBand="0" w:oddHBand="0" w:evenHBand="0" w:firstRowFirstColumn="0" w:firstRowLastColumn="0" w:lastRowFirstColumn="0" w:lastRowLastColumn="0"/>
              <w:rPr>
                <w:sz w:val="18"/>
                <w:szCs w:val="18"/>
                <w:lang w:val="en-GB"/>
              </w:rPr>
            </w:pPr>
            <w:r w:rsidRPr="00AE504E">
              <w:rPr>
                <w:sz w:val="18"/>
                <w:szCs w:val="18"/>
                <w:lang w:val="en-GB"/>
              </w:rPr>
              <w:t>Sex hormone-binding globuline</w:t>
            </w:r>
            <w:r w:rsidR="00AD3EE4">
              <w:rPr>
                <w:sz w:val="18"/>
                <w:szCs w:val="18"/>
                <w:lang w:val="en-GB"/>
              </w:rPr>
              <w:t xml:space="preserve"> (SHBG)</w:t>
            </w:r>
          </w:p>
          <w:p w14:paraId="58C88C89" w14:textId="07AC94D6" w:rsidR="00AD3EE4" w:rsidRPr="00AE504E" w:rsidRDefault="00AD3EE4" w:rsidP="005431A2">
            <w:pPr>
              <w:ind w:left="360"/>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Cholesterol (total, HDL)</w:t>
            </w:r>
          </w:p>
        </w:tc>
      </w:tr>
    </w:tbl>
    <w:p w14:paraId="7DBD5C07" w14:textId="77777777" w:rsidR="00BB7F39" w:rsidRDefault="00BB7F39">
      <w:r>
        <w:rPr>
          <w:b/>
          <w:bCs/>
        </w:rPr>
        <w:br w:type="page"/>
      </w:r>
    </w:p>
    <w:tbl>
      <w:tblPr>
        <w:tblStyle w:val="Onopgemaaktetabel21"/>
        <w:tblW w:w="0" w:type="auto"/>
        <w:tblLook w:val="04A0" w:firstRow="1" w:lastRow="0" w:firstColumn="1" w:lastColumn="0" w:noHBand="0" w:noVBand="1"/>
      </w:tblPr>
      <w:tblGrid>
        <w:gridCol w:w="2235"/>
        <w:gridCol w:w="4677"/>
      </w:tblGrid>
      <w:tr w:rsidR="00006A98" w:rsidRPr="002A729A" w14:paraId="3C9F6957" w14:textId="77777777" w:rsidTr="00AA37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6481B25" w14:textId="419082D3" w:rsidR="00006A98" w:rsidRPr="00AE504E" w:rsidRDefault="00006A98" w:rsidP="005431A2">
            <w:pPr>
              <w:rPr>
                <w:b w:val="0"/>
                <w:sz w:val="18"/>
                <w:szCs w:val="18"/>
                <w:vertAlign w:val="superscript"/>
                <w:lang w:val="en-GB"/>
              </w:rPr>
            </w:pPr>
            <w:r w:rsidRPr="00AE504E">
              <w:rPr>
                <w:b w:val="0"/>
                <w:sz w:val="18"/>
                <w:szCs w:val="18"/>
                <w:lang w:val="en-GB"/>
              </w:rPr>
              <w:lastRenderedPageBreak/>
              <w:t>Start of L or CA and start of CSH</w:t>
            </w:r>
            <w:r w:rsidRPr="00AE504E">
              <w:rPr>
                <w:b w:val="0"/>
                <w:sz w:val="18"/>
                <w:szCs w:val="18"/>
                <w:vertAlign w:val="superscript"/>
                <w:lang w:val="en-GB"/>
              </w:rPr>
              <w:t>a</w:t>
            </w:r>
          </w:p>
        </w:tc>
        <w:tc>
          <w:tcPr>
            <w:tcW w:w="4677" w:type="dxa"/>
          </w:tcPr>
          <w:p w14:paraId="37461722" w14:textId="77777777" w:rsidR="00006A98" w:rsidRPr="00BB7F39" w:rsidRDefault="00006A98" w:rsidP="005431A2">
            <w:pPr>
              <w:ind w:left="360"/>
              <w:cnfStyle w:val="100000000000" w:firstRow="1" w:lastRow="0" w:firstColumn="0" w:lastColumn="0" w:oddVBand="0" w:evenVBand="0" w:oddHBand="0" w:evenHBand="0" w:firstRowFirstColumn="0" w:firstRowLastColumn="0" w:lastRowFirstColumn="0" w:lastRowLastColumn="0"/>
              <w:rPr>
                <w:b w:val="0"/>
                <w:sz w:val="18"/>
                <w:szCs w:val="18"/>
                <w:lang w:val="en-GB"/>
              </w:rPr>
            </w:pPr>
            <w:r w:rsidRPr="00BB7F39">
              <w:rPr>
                <w:b w:val="0"/>
                <w:sz w:val="18"/>
                <w:szCs w:val="18"/>
                <w:lang w:val="en-GB"/>
              </w:rPr>
              <w:t>Fasting glucose</w:t>
            </w:r>
          </w:p>
          <w:p w14:paraId="16F25224" w14:textId="77777777" w:rsidR="00006A98" w:rsidRPr="00BB7F39" w:rsidRDefault="00006A98" w:rsidP="005431A2">
            <w:pPr>
              <w:ind w:left="360"/>
              <w:cnfStyle w:val="100000000000" w:firstRow="1" w:lastRow="0" w:firstColumn="0" w:lastColumn="0" w:oddVBand="0" w:evenVBand="0" w:oddHBand="0" w:evenHBand="0" w:firstRowFirstColumn="0" w:firstRowLastColumn="0" w:lastRowFirstColumn="0" w:lastRowLastColumn="0"/>
              <w:rPr>
                <w:b w:val="0"/>
                <w:sz w:val="18"/>
                <w:szCs w:val="18"/>
                <w:lang w:val="en-GB"/>
              </w:rPr>
            </w:pPr>
            <w:r w:rsidRPr="00BB7F39">
              <w:rPr>
                <w:b w:val="0"/>
                <w:sz w:val="18"/>
                <w:szCs w:val="18"/>
                <w:lang w:val="en-GB"/>
              </w:rPr>
              <w:t>Insulin</w:t>
            </w:r>
          </w:p>
          <w:p w14:paraId="07B04A67" w14:textId="11230A97" w:rsidR="00537EC1" w:rsidRPr="00BB7F39" w:rsidRDefault="00006A98" w:rsidP="00537EC1">
            <w:pPr>
              <w:ind w:left="360"/>
              <w:cnfStyle w:val="100000000000" w:firstRow="1" w:lastRow="0" w:firstColumn="0" w:lastColumn="0" w:oddVBand="0" w:evenVBand="0" w:oddHBand="0" w:evenHBand="0" w:firstRowFirstColumn="0" w:firstRowLastColumn="0" w:lastRowFirstColumn="0" w:lastRowLastColumn="0"/>
              <w:rPr>
                <w:b w:val="0"/>
                <w:sz w:val="18"/>
                <w:szCs w:val="18"/>
                <w:lang w:val="en-GB"/>
              </w:rPr>
            </w:pPr>
            <w:r w:rsidRPr="00BB7F39">
              <w:rPr>
                <w:b w:val="0"/>
                <w:sz w:val="18"/>
                <w:szCs w:val="18"/>
                <w:lang w:val="en-GB"/>
              </w:rPr>
              <w:t>Lipid metabolism</w:t>
            </w:r>
            <w:r w:rsidR="00AD3EE4" w:rsidRPr="00BB7F39">
              <w:rPr>
                <w:b w:val="0"/>
                <w:sz w:val="18"/>
                <w:szCs w:val="18"/>
                <w:lang w:val="en-GB"/>
              </w:rPr>
              <w:t xml:space="preserve"> (cholesterol + LDL + triglycerides)</w:t>
            </w:r>
            <w:r w:rsidR="00537EC1" w:rsidRPr="00BB7F39">
              <w:rPr>
                <w:b w:val="0"/>
                <w:sz w:val="18"/>
                <w:szCs w:val="18"/>
                <w:lang w:val="en-GB"/>
              </w:rPr>
              <w:t xml:space="preserve"> Insulin-like growth factor 1 (IGF-1)</w:t>
            </w:r>
          </w:p>
          <w:p w14:paraId="59A3F83F" w14:textId="77777777" w:rsidR="00537EC1" w:rsidRPr="00BB7F39" w:rsidRDefault="00537EC1" w:rsidP="00537EC1">
            <w:pPr>
              <w:ind w:left="360"/>
              <w:cnfStyle w:val="100000000000" w:firstRow="1" w:lastRow="0" w:firstColumn="0" w:lastColumn="0" w:oddVBand="0" w:evenVBand="0" w:oddHBand="0" w:evenHBand="0" w:firstRowFirstColumn="0" w:firstRowLastColumn="0" w:lastRowFirstColumn="0" w:lastRowLastColumn="0"/>
              <w:rPr>
                <w:b w:val="0"/>
                <w:sz w:val="18"/>
                <w:szCs w:val="18"/>
                <w:lang w:val="en-GB"/>
              </w:rPr>
            </w:pPr>
            <w:r w:rsidRPr="00BB7F39">
              <w:rPr>
                <w:b w:val="0"/>
                <w:sz w:val="18"/>
                <w:szCs w:val="18"/>
                <w:lang w:val="en-GB"/>
              </w:rPr>
              <w:t>Dehydroepiandosterone sulfate (DHEAS)</w:t>
            </w:r>
          </w:p>
          <w:p w14:paraId="02776979" w14:textId="77777777" w:rsidR="00537EC1" w:rsidRPr="00BB7F39" w:rsidRDefault="00537EC1" w:rsidP="00537EC1">
            <w:pPr>
              <w:ind w:left="360"/>
              <w:cnfStyle w:val="100000000000" w:firstRow="1" w:lastRow="0" w:firstColumn="0" w:lastColumn="0" w:oddVBand="0" w:evenVBand="0" w:oddHBand="0" w:evenHBand="0" w:firstRowFirstColumn="0" w:firstRowLastColumn="0" w:lastRowFirstColumn="0" w:lastRowLastColumn="0"/>
              <w:rPr>
                <w:b w:val="0"/>
                <w:sz w:val="18"/>
                <w:szCs w:val="18"/>
                <w:lang w:val="en-GB"/>
              </w:rPr>
            </w:pPr>
            <w:r w:rsidRPr="00BB7F39">
              <w:rPr>
                <w:b w:val="0"/>
                <w:sz w:val="18"/>
                <w:szCs w:val="18"/>
                <w:lang w:val="en-GB"/>
              </w:rPr>
              <w:t xml:space="preserve">Δ4-androstenedione </w:t>
            </w:r>
          </w:p>
          <w:p w14:paraId="37C6A222" w14:textId="77777777" w:rsidR="00006A98" w:rsidRPr="00BB7F39" w:rsidRDefault="00006A98" w:rsidP="005431A2">
            <w:pPr>
              <w:ind w:left="360"/>
              <w:cnfStyle w:val="100000000000" w:firstRow="1" w:lastRow="0" w:firstColumn="0" w:lastColumn="0" w:oddVBand="0" w:evenVBand="0" w:oddHBand="0" w:evenHBand="0" w:firstRowFirstColumn="0" w:firstRowLastColumn="0" w:lastRowFirstColumn="0" w:lastRowLastColumn="0"/>
              <w:rPr>
                <w:b w:val="0"/>
                <w:sz w:val="18"/>
                <w:szCs w:val="18"/>
                <w:lang w:val="en-GB"/>
              </w:rPr>
            </w:pPr>
            <w:r w:rsidRPr="00BB7F39">
              <w:rPr>
                <w:b w:val="0"/>
                <w:sz w:val="18"/>
                <w:szCs w:val="18"/>
                <w:lang w:val="en-GB"/>
              </w:rPr>
              <w:t xml:space="preserve">FtM: </w:t>
            </w:r>
          </w:p>
          <w:p w14:paraId="5A46B2F0" w14:textId="344F3BB7" w:rsidR="00006A98" w:rsidRPr="00BB7F39" w:rsidRDefault="00006A98" w:rsidP="005431A2">
            <w:pPr>
              <w:ind w:left="708"/>
              <w:cnfStyle w:val="100000000000" w:firstRow="1" w:lastRow="0" w:firstColumn="0" w:lastColumn="0" w:oddVBand="0" w:evenVBand="0" w:oddHBand="0" w:evenHBand="0" w:firstRowFirstColumn="0" w:firstRowLastColumn="0" w:lastRowFirstColumn="0" w:lastRowLastColumn="0"/>
              <w:rPr>
                <w:b w:val="0"/>
                <w:sz w:val="18"/>
                <w:szCs w:val="18"/>
                <w:lang w:val="en-GB"/>
              </w:rPr>
            </w:pPr>
            <w:r w:rsidRPr="00BB7F39">
              <w:rPr>
                <w:b w:val="0"/>
                <w:sz w:val="18"/>
                <w:szCs w:val="18"/>
                <w:lang w:val="en-GB"/>
              </w:rPr>
              <w:t xml:space="preserve">Anti-müllerian hormone </w:t>
            </w:r>
            <w:r w:rsidR="00AD3EE4" w:rsidRPr="00BB7F39">
              <w:rPr>
                <w:b w:val="0"/>
                <w:sz w:val="18"/>
                <w:szCs w:val="18"/>
                <w:lang w:val="en-GB"/>
              </w:rPr>
              <w:t>(AMH)</w:t>
            </w:r>
          </w:p>
          <w:p w14:paraId="654B910E" w14:textId="77777777" w:rsidR="00006A98" w:rsidRPr="00BB7F39" w:rsidRDefault="00006A98" w:rsidP="005431A2">
            <w:pPr>
              <w:ind w:left="360"/>
              <w:cnfStyle w:val="100000000000" w:firstRow="1" w:lastRow="0" w:firstColumn="0" w:lastColumn="0" w:oddVBand="0" w:evenVBand="0" w:oddHBand="0" w:evenHBand="0" w:firstRowFirstColumn="0" w:firstRowLastColumn="0" w:lastRowFirstColumn="0" w:lastRowLastColumn="0"/>
              <w:rPr>
                <w:b w:val="0"/>
                <w:sz w:val="18"/>
                <w:szCs w:val="18"/>
                <w:lang w:val="en-GB"/>
              </w:rPr>
            </w:pPr>
            <w:r w:rsidRPr="00BB7F39">
              <w:rPr>
                <w:b w:val="0"/>
                <w:sz w:val="18"/>
                <w:szCs w:val="18"/>
                <w:lang w:val="en-GB"/>
              </w:rPr>
              <w:t xml:space="preserve">MtF: </w:t>
            </w:r>
          </w:p>
          <w:p w14:paraId="2A02EC3A" w14:textId="5D23A270" w:rsidR="00006A98" w:rsidRPr="00BB7F39" w:rsidRDefault="00006A98" w:rsidP="005431A2">
            <w:pPr>
              <w:ind w:left="708"/>
              <w:cnfStyle w:val="100000000000" w:firstRow="1" w:lastRow="0" w:firstColumn="0" w:lastColumn="0" w:oddVBand="0" w:evenVBand="0" w:oddHBand="0" w:evenHBand="0" w:firstRowFirstColumn="0" w:firstRowLastColumn="0" w:lastRowFirstColumn="0" w:lastRowLastColumn="0"/>
              <w:rPr>
                <w:b w:val="0"/>
                <w:sz w:val="18"/>
                <w:szCs w:val="18"/>
                <w:lang w:val="en-GB"/>
              </w:rPr>
            </w:pPr>
            <w:r w:rsidRPr="00BB7F39">
              <w:rPr>
                <w:b w:val="0"/>
                <w:sz w:val="18"/>
                <w:szCs w:val="18"/>
                <w:lang w:val="en-GB"/>
              </w:rPr>
              <w:t xml:space="preserve">Inhibin B </w:t>
            </w:r>
            <w:r w:rsidR="00AD3EE4" w:rsidRPr="00BB7F39">
              <w:rPr>
                <w:b w:val="0"/>
                <w:sz w:val="18"/>
                <w:szCs w:val="18"/>
                <w:lang w:val="en-GB"/>
              </w:rPr>
              <w:t>(Inh)</w:t>
            </w:r>
          </w:p>
          <w:p w14:paraId="1DC8D4FB" w14:textId="7E39CBBA" w:rsidR="00006A98" w:rsidRPr="00AE504E" w:rsidRDefault="00006A98" w:rsidP="005431A2">
            <w:pPr>
              <w:ind w:left="708"/>
              <w:cnfStyle w:val="100000000000" w:firstRow="1" w:lastRow="0" w:firstColumn="0" w:lastColumn="0" w:oddVBand="0" w:evenVBand="0" w:oddHBand="0" w:evenHBand="0" w:firstRowFirstColumn="0" w:firstRowLastColumn="0" w:lastRowFirstColumn="0" w:lastRowLastColumn="0"/>
              <w:rPr>
                <w:sz w:val="18"/>
                <w:szCs w:val="18"/>
                <w:lang w:val="en-GB"/>
              </w:rPr>
            </w:pPr>
            <w:r w:rsidRPr="00BB7F39">
              <w:rPr>
                <w:b w:val="0"/>
                <w:sz w:val="18"/>
                <w:szCs w:val="18"/>
                <w:lang w:val="en-GB"/>
              </w:rPr>
              <w:t>Prolactin</w:t>
            </w:r>
            <w:r w:rsidR="00AD3EE4" w:rsidRPr="00BB7F39">
              <w:rPr>
                <w:b w:val="0"/>
                <w:sz w:val="18"/>
                <w:szCs w:val="18"/>
                <w:lang w:val="en-GB"/>
              </w:rPr>
              <w:t xml:space="preserve"> (PRL)</w:t>
            </w:r>
          </w:p>
        </w:tc>
      </w:tr>
    </w:tbl>
    <w:p w14:paraId="4A99055F" w14:textId="26C89667" w:rsidR="00006A98" w:rsidRPr="00E648EA" w:rsidRDefault="00006A98" w:rsidP="00006A98">
      <w:pPr>
        <w:spacing w:after="120" w:line="360" w:lineRule="auto"/>
        <w:rPr>
          <w:sz w:val="18"/>
          <w:szCs w:val="18"/>
          <w:lang w:val="en-GB"/>
        </w:rPr>
      </w:pPr>
      <w:r w:rsidRPr="00E648EA">
        <w:rPr>
          <w:sz w:val="18"/>
          <w:szCs w:val="18"/>
          <w:lang w:val="en-GB"/>
        </w:rPr>
        <w:t>a: fasting venous blood sampling was</w:t>
      </w:r>
      <w:r w:rsidR="00AA3779">
        <w:rPr>
          <w:sz w:val="18"/>
          <w:szCs w:val="18"/>
          <w:lang w:val="en-GB"/>
        </w:rPr>
        <w:t xml:space="preserve"> performed between 8 and 9 AM. FtM: female to male trans</w:t>
      </w:r>
      <w:r w:rsidR="00493539">
        <w:rPr>
          <w:sz w:val="18"/>
          <w:szCs w:val="18"/>
          <w:lang w:val="en-GB"/>
        </w:rPr>
        <w:t>gender</w:t>
      </w:r>
      <w:r w:rsidR="00AA3779">
        <w:rPr>
          <w:sz w:val="18"/>
          <w:szCs w:val="18"/>
          <w:lang w:val="en-GB"/>
        </w:rPr>
        <w:t xml:space="preserve"> adolescents; MtF: male to female trans</w:t>
      </w:r>
      <w:r w:rsidR="00493539">
        <w:rPr>
          <w:sz w:val="18"/>
          <w:szCs w:val="18"/>
          <w:lang w:val="en-GB"/>
        </w:rPr>
        <w:t>gender</w:t>
      </w:r>
      <w:r w:rsidR="00AA3779">
        <w:rPr>
          <w:sz w:val="18"/>
          <w:szCs w:val="18"/>
          <w:lang w:val="en-GB"/>
        </w:rPr>
        <w:t xml:space="preserve"> adolescents.</w:t>
      </w:r>
    </w:p>
    <w:p w14:paraId="3F462804" w14:textId="37068ABB" w:rsidR="000B48EC" w:rsidRDefault="000B48EC" w:rsidP="00D56099">
      <w:pPr>
        <w:spacing w:after="0" w:line="360" w:lineRule="auto"/>
        <w:jc w:val="both"/>
        <w:rPr>
          <w:lang w:val="en-GB"/>
        </w:rPr>
      </w:pPr>
      <w:r w:rsidRPr="001D4755">
        <w:rPr>
          <w:lang w:val="en-GB"/>
        </w:rPr>
        <w:t>Statistical analysis</w:t>
      </w:r>
      <w:r>
        <w:rPr>
          <w:lang w:val="en-GB"/>
        </w:rPr>
        <w:t xml:space="preserve"> was performed using IBM SPSS </w:t>
      </w:r>
      <w:r w:rsidR="00C24208">
        <w:rPr>
          <w:lang w:val="en-GB"/>
        </w:rPr>
        <w:t xml:space="preserve">software package (version 22). </w:t>
      </w:r>
      <w:r>
        <w:rPr>
          <w:lang w:val="en-GB"/>
        </w:rPr>
        <w:t>A P-value of less or equal to 0,05 was con</w:t>
      </w:r>
      <w:r w:rsidR="0081786C">
        <w:rPr>
          <w:lang w:val="en-GB"/>
        </w:rPr>
        <w:t xml:space="preserve">sidered significant. McNemar’s </w:t>
      </w:r>
      <w:r>
        <w:rPr>
          <w:lang w:val="en-GB"/>
        </w:rPr>
        <w:t>test for comparison of paired data was performed to analyse reported side effects over time</w:t>
      </w:r>
      <w:r w:rsidR="0081786C">
        <w:rPr>
          <w:lang w:val="en-GB"/>
        </w:rPr>
        <w:t xml:space="preserve">. After testing for normality, </w:t>
      </w:r>
      <w:r>
        <w:rPr>
          <w:lang w:val="en-GB"/>
        </w:rPr>
        <w:t>anthropometric and biochemical data were analysed using a paired Student-T test or a Wilcoxon signed-ranks test as appropriate. For biochemical analyses, all statistical tests were done in comparison with baseline parameters (at start of L</w:t>
      </w:r>
      <w:r w:rsidR="00B27531">
        <w:rPr>
          <w:lang w:val="en-GB"/>
        </w:rPr>
        <w:t>/CA</w:t>
      </w:r>
      <w:r>
        <w:rPr>
          <w:lang w:val="en-GB"/>
        </w:rPr>
        <w:t xml:space="preserve"> or L+T</w:t>
      </w:r>
      <w:r w:rsidR="006E34C2">
        <w:rPr>
          <w:lang w:val="en-GB"/>
        </w:rPr>
        <w:t>E</w:t>
      </w:r>
      <w:r w:rsidR="00B27531">
        <w:rPr>
          <w:lang w:val="en-GB"/>
        </w:rPr>
        <w:t>/CA+E</w:t>
      </w:r>
      <w:r>
        <w:rPr>
          <w:lang w:val="en-GB"/>
        </w:rPr>
        <w:t xml:space="preserve">). Eight </w:t>
      </w:r>
      <w:r w:rsidR="00E22373">
        <w:rPr>
          <w:lang w:val="en-GB"/>
        </w:rPr>
        <w:t>FtM trans</w:t>
      </w:r>
      <w:r w:rsidR="00493539">
        <w:rPr>
          <w:lang w:val="en-GB"/>
        </w:rPr>
        <w:t>gender</w:t>
      </w:r>
      <w:r w:rsidR="00E22373">
        <w:rPr>
          <w:lang w:val="en-GB"/>
        </w:rPr>
        <w:t xml:space="preserve"> adolescents</w:t>
      </w:r>
      <w:r>
        <w:rPr>
          <w:lang w:val="en-GB"/>
        </w:rPr>
        <w:t xml:space="preserve"> were using oral contraceptives (OC) at intake. Data obtained in these patients at intake were excluded from analyses if a Mann-Whitney U-t</w:t>
      </w:r>
      <w:r w:rsidR="00C24208">
        <w:rPr>
          <w:lang w:val="en-GB"/>
        </w:rPr>
        <w:t xml:space="preserve">est indicated influence of OC. </w:t>
      </w:r>
    </w:p>
    <w:p w14:paraId="3EA4A9B0" w14:textId="58857338" w:rsidR="000B48EC" w:rsidRDefault="000B48EC" w:rsidP="006064B2">
      <w:pPr>
        <w:spacing w:after="0" w:line="360" w:lineRule="auto"/>
        <w:jc w:val="both"/>
        <w:rPr>
          <w:lang w:val="en-GB"/>
        </w:rPr>
      </w:pPr>
      <w:r>
        <w:rPr>
          <w:lang w:val="en-GB"/>
        </w:rPr>
        <w:t>Method</w:t>
      </w:r>
      <w:r w:rsidR="0081786C">
        <w:rPr>
          <w:lang w:val="en-GB"/>
        </w:rPr>
        <w:t>ological details</w:t>
      </w:r>
      <w:r>
        <w:rPr>
          <w:lang w:val="en-GB"/>
        </w:rPr>
        <w:t xml:space="preserve"> of biochemical parameters are </w:t>
      </w:r>
      <w:r w:rsidRPr="0060486A">
        <w:rPr>
          <w:lang w:val="en-GB"/>
        </w:rPr>
        <w:t xml:space="preserve">represented in Table </w:t>
      </w:r>
      <w:r w:rsidR="00A44497">
        <w:rPr>
          <w:lang w:val="en-GB"/>
        </w:rPr>
        <w:t>6</w:t>
      </w:r>
      <w:r w:rsidR="00537EC1">
        <w:rPr>
          <w:lang w:val="en-GB"/>
        </w:rPr>
        <w:t xml:space="preserve"> (FtM)</w:t>
      </w:r>
      <w:r w:rsidR="00E22373">
        <w:rPr>
          <w:lang w:val="en-GB"/>
        </w:rPr>
        <w:t xml:space="preserve"> and </w:t>
      </w:r>
      <w:r w:rsidR="00A44497">
        <w:rPr>
          <w:lang w:val="en-GB"/>
        </w:rPr>
        <w:t>9</w:t>
      </w:r>
      <w:r w:rsidR="00537EC1">
        <w:rPr>
          <w:lang w:val="en-GB"/>
        </w:rPr>
        <w:t xml:space="preserve"> (MtF)</w:t>
      </w:r>
      <w:r>
        <w:rPr>
          <w:lang w:val="en-GB"/>
        </w:rPr>
        <w:t>. The detection limit for LH, E2 and T (RIA) was 0,1 U/L, 25 ng/L and 10 ng/dL respectively. The maximal detection limit for SHBG was 200 nmol/L. In case of values below or above these limits, the limit itself was inp</w:t>
      </w:r>
      <w:r w:rsidR="006064B2">
        <w:rPr>
          <w:lang w:val="en-GB"/>
        </w:rPr>
        <w:t>utted for statistical analyses.</w:t>
      </w:r>
    </w:p>
    <w:p w14:paraId="4E0E95B6" w14:textId="247338D2" w:rsidR="00757204" w:rsidRPr="00757204" w:rsidRDefault="00A44497" w:rsidP="006064B2">
      <w:pPr>
        <w:spacing w:before="120" w:after="0"/>
        <w:rPr>
          <w:lang w:val="en-GB"/>
        </w:rPr>
      </w:pPr>
      <w:r>
        <w:rPr>
          <w:b/>
          <w:lang w:val="en-GB"/>
        </w:rPr>
        <w:t>Table 3</w:t>
      </w:r>
      <w:r w:rsidR="00757204" w:rsidRPr="004514E6">
        <w:rPr>
          <w:b/>
          <w:lang w:val="en-GB"/>
        </w:rPr>
        <w:t>.</w:t>
      </w:r>
      <w:r w:rsidR="00757204" w:rsidRPr="00B058CD">
        <w:rPr>
          <w:lang w:val="en-GB"/>
        </w:rPr>
        <w:t xml:space="preserve"> </w:t>
      </w:r>
      <w:r w:rsidR="00757204" w:rsidRPr="00757204">
        <w:rPr>
          <w:lang w:val="en-GB"/>
        </w:rPr>
        <w:t xml:space="preserve">Schedule of increments of </w:t>
      </w:r>
      <w:r w:rsidR="00757204">
        <w:rPr>
          <w:lang w:val="en-GB"/>
        </w:rPr>
        <w:t>CSH administration</w:t>
      </w:r>
      <w:r w:rsidR="00757204" w:rsidRPr="00757204">
        <w:rPr>
          <w:lang w:val="en-GB"/>
        </w:rPr>
        <w:t xml:space="preserve"> and vitamin D supplementation.</w:t>
      </w:r>
    </w:p>
    <w:tbl>
      <w:tblPr>
        <w:tblStyle w:val="Onopgemaaktetabel21"/>
        <w:tblW w:w="7763" w:type="dxa"/>
        <w:tblLayout w:type="fixed"/>
        <w:tblLook w:val="04A0" w:firstRow="1" w:lastRow="0" w:firstColumn="1" w:lastColumn="0" w:noHBand="0" w:noVBand="1"/>
      </w:tblPr>
      <w:tblGrid>
        <w:gridCol w:w="970"/>
        <w:gridCol w:w="970"/>
        <w:gridCol w:w="971"/>
        <w:gridCol w:w="970"/>
        <w:gridCol w:w="970"/>
        <w:gridCol w:w="971"/>
        <w:gridCol w:w="970"/>
        <w:gridCol w:w="971"/>
      </w:tblGrid>
      <w:tr w:rsidR="00757204" w:rsidRPr="002A729A" w14:paraId="2670E191" w14:textId="77777777" w:rsidTr="00AA3779">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763" w:type="dxa"/>
            <w:gridSpan w:val="8"/>
          </w:tcPr>
          <w:p w14:paraId="20924514" w14:textId="01ED5238" w:rsidR="00757204" w:rsidRPr="00974165" w:rsidRDefault="00757204" w:rsidP="00493539">
            <w:pPr>
              <w:jc w:val="center"/>
              <w:rPr>
                <w:b w:val="0"/>
                <w:lang w:val="en-GB"/>
              </w:rPr>
            </w:pPr>
            <w:r w:rsidRPr="00974165">
              <w:rPr>
                <w:b w:val="0"/>
                <w:lang w:val="en-GB"/>
              </w:rPr>
              <w:t xml:space="preserve">Cross sex hormones Female to Male </w:t>
            </w:r>
            <w:r w:rsidR="00E22373">
              <w:rPr>
                <w:b w:val="0"/>
                <w:lang w:val="en-GB"/>
              </w:rPr>
              <w:t>trans</w:t>
            </w:r>
            <w:r w:rsidR="00493539">
              <w:rPr>
                <w:b w:val="0"/>
                <w:lang w:val="en-GB"/>
              </w:rPr>
              <w:t>gender</w:t>
            </w:r>
            <w:r w:rsidR="00E22373">
              <w:rPr>
                <w:b w:val="0"/>
                <w:lang w:val="en-GB"/>
              </w:rPr>
              <w:t xml:space="preserve"> </w:t>
            </w:r>
            <w:r w:rsidRPr="00974165">
              <w:rPr>
                <w:b w:val="0"/>
                <w:lang w:val="en-GB"/>
              </w:rPr>
              <w:t>adolescents</w:t>
            </w:r>
          </w:p>
        </w:tc>
      </w:tr>
      <w:tr w:rsidR="00757204" w:rsidRPr="00974165" w14:paraId="0D8C2F04" w14:textId="77777777" w:rsidTr="00AA377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881" w:type="dxa"/>
            <w:gridSpan w:val="4"/>
          </w:tcPr>
          <w:p w14:paraId="538A2E39" w14:textId="77777777" w:rsidR="00757204" w:rsidRPr="00974165" w:rsidRDefault="00757204" w:rsidP="00757204">
            <w:pPr>
              <w:jc w:val="center"/>
              <w:rPr>
                <w:b w:val="0"/>
                <w:lang w:val="en-GB"/>
              </w:rPr>
            </w:pPr>
            <w:r w:rsidRPr="00974165">
              <w:rPr>
                <w:b w:val="0"/>
                <w:lang w:val="en-GB"/>
              </w:rPr>
              <w:t>Schedule 16 year</w:t>
            </w:r>
          </w:p>
        </w:tc>
        <w:tc>
          <w:tcPr>
            <w:tcW w:w="3882" w:type="dxa"/>
            <w:gridSpan w:val="4"/>
          </w:tcPr>
          <w:p w14:paraId="771C2389" w14:textId="77777777" w:rsidR="00757204" w:rsidRPr="00974165" w:rsidRDefault="00757204" w:rsidP="00757204">
            <w:pPr>
              <w:jc w:val="center"/>
              <w:cnfStyle w:val="000000100000" w:firstRow="0" w:lastRow="0" w:firstColumn="0" w:lastColumn="0" w:oddVBand="0" w:evenVBand="0" w:oddHBand="1" w:evenHBand="0" w:firstRowFirstColumn="0" w:firstRowLastColumn="0" w:lastRowFirstColumn="0" w:lastRowLastColumn="0"/>
              <w:rPr>
                <w:b/>
                <w:lang w:val="en-GB"/>
              </w:rPr>
            </w:pPr>
            <w:r w:rsidRPr="00974165">
              <w:rPr>
                <w:b/>
                <w:lang w:val="en-GB"/>
              </w:rPr>
              <w:t>Schedule 17-19 year</w:t>
            </w:r>
          </w:p>
        </w:tc>
      </w:tr>
      <w:tr w:rsidR="00757204" w:rsidRPr="00974165" w14:paraId="4C489697" w14:textId="77777777" w:rsidTr="00AA3779">
        <w:trPr>
          <w:trHeight w:val="280"/>
        </w:trPr>
        <w:tc>
          <w:tcPr>
            <w:cnfStyle w:val="001000000000" w:firstRow="0" w:lastRow="0" w:firstColumn="1" w:lastColumn="0" w:oddVBand="0" w:evenVBand="0" w:oddHBand="0" w:evenHBand="0" w:firstRowFirstColumn="0" w:firstRowLastColumn="0" w:lastRowFirstColumn="0" w:lastRowLastColumn="0"/>
            <w:tcW w:w="970" w:type="dxa"/>
          </w:tcPr>
          <w:p w14:paraId="55F463D3" w14:textId="77777777" w:rsidR="00757204" w:rsidRPr="00974165" w:rsidRDefault="00757204" w:rsidP="00757204">
            <w:pPr>
              <w:jc w:val="center"/>
              <w:rPr>
                <w:sz w:val="18"/>
                <w:szCs w:val="18"/>
                <w:lang w:val="en-GB"/>
              </w:rPr>
            </w:pPr>
            <w:r w:rsidRPr="00974165">
              <w:rPr>
                <w:sz w:val="18"/>
                <w:szCs w:val="18"/>
                <w:lang w:val="en-GB"/>
              </w:rPr>
              <w:t>Time</w:t>
            </w:r>
          </w:p>
        </w:tc>
        <w:tc>
          <w:tcPr>
            <w:tcW w:w="970" w:type="dxa"/>
          </w:tcPr>
          <w:p w14:paraId="1BA67869" w14:textId="77777777" w:rsidR="00757204" w:rsidRPr="00974165" w:rsidRDefault="00757204"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974165">
              <w:rPr>
                <w:sz w:val="18"/>
                <w:szCs w:val="18"/>
                <w:lang w:val="en-GB"/>
              </w:rPr>
              <w:t>Substance</w:t>
            </w:r>
          </w:p>
        </w:tc>
        <w:tc>
          <w:tcPr>
            <w:tcW w:w="971" w:type="dxa"/>
          </w:tcPr>
          <w:p w14:paraId="5C66170E" w14:textId="77777777" w:rsidR="00757204" w:rsidRPr="00974165" w:rsidRDefault="00757204"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974165">
              <w:rPr>
                <w:sz w:val="18"/>
                <w:szCs w:val="18"/>
                <w:lang w:val="en-GB"/>
              </w:rPr>
              <w:t>Dose</w:t>
            </w:r>
          </w:p>
        </w:tc>
        <w:tc>
          <w:tcPr>
            <w:tcW w:w="970" w:type="dxa"/>
          </w:tcPr>
          <w:p w14:paraId="538F55CB" w14:textId="77777777" w:rsidR="00757204" w:rsidRPr="00974165" w:rsidRDefault="00757204"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974165">
              <w:rPr>
                <w:sz w:val="18"/>
                <w:szCs w:val="18"/>
                <w:lang w:val="en-GB"/>
              </w:rPr>
              <w:t>DI</w:t>
            </w:r>
          </w:p>
        </w:tc>
        <w:tc>
          <w:tcPr>
            <w:tcW w:w="970" w:type="dxa"/>
          </w:tcPr>
          <w:p w14:paraId="3CDB2131" w14:textId="77777777" w:rsidR="00757204" w:rsidRPr="00974165" w:rsidRDefault="00757204"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974165">
              <w:rPr>
                <w:sz w:val="18"/>
                <w:szCs w:val="18"/>
                <w:lang w:val="en-GB"/>
              </w:rPr>
              <w:t>Time</w:t>
            </w:r>
          </w:p>
        </w:tc>
        <w:tc>
          <w:tcPr>
            <w:tcW w:w="971" w:type="dxa"/>
          </w:tcPr>
          <w:p w14:paraId="3D95237A" w14:textId="77777777" w:rsidR="00757204" w:rsidRPr="00974165" w:rsidRDefault="00757204"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974165">
              <w:rPr>
                <w:sz w:val="18"/>
                <w:szCs w:val="18"/>
                <w:lang w:val="en-GB"/>
              </w:rPr>
              <w:t>Substance</w:t>
            </w:r>
          </w:p>
        </w:tc>
        <w:tc>
          <w:tcPr>
            <w:tcW w:w="970" w:type="dxa"/>
          </w:tcPr>
          <w:p w14:paraId="1D7ECE86" w14:textId="77777777" w:rsidR="00757204" w:rsidRPr="00974165" w:rsidRDefault="00757204"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974165">
              <w:rPr>
                <w:sz w:val="18"/>
                <w:szCs w:val="18"/>
                <w:lang w:val="en-GB"/>
              </w:rPr>
              <w:t>Dose</w:t>
            </w:r>
          </w:p>
        </w:tc>
        <w:tc>
          <w:tcPr>
            <w:tcW w:w="971" w:type="dxa"/>
          </w:tcPr>
          <w:p w14:paraId="24C59DEF" w14:textId="77777777" w:rsidR="00757204" w:rsidRPr="00974165" w:rsidRDefault="00757204"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974165">
              <w:rPr>
                <w:sz w:val="18"/>
                <w:szCs w:val="18"/>
                <w:lang w:val="en-GB"/>
              </w:rPr>
              <w:t>DI</w:t>
            </w:r>
          </w:p>
        </w:tc>
      </w:tr>
      <w:tr w:rsidR="00757204" w:rsidRPr="00974165" w14:paraId="7F405FFB" w14:textId="77777777" w:rsidTr="00AA377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70" w:type="dxa"/>
          </w:tcPr>
          <w:p w14:paraId="17C6049C" w14:textId="77777777" w:rsidR="00757204" w:rsidRPr="00974165" w:rsidRDefault="00757204" w:rsidP="00615589">
            <w:pPr>
              <w:jc w:val="center"/>
              <w:rPr>
                <w:sz w:val="18"/>
                <w:szCs w:val="18"/>
                <w:lang w:val="en-GB"/>
              </w:rPr>
            </w:pPr>
            <w:r w:rsidRPr="00974165">
              <w:rPr>
                <w:sz w:val="18"/>
                <w:szCs w:val="18"/>
                <w:lang w:val="en-GB"/>
              </w:rPr>
              <w:t>Start</w:t>
            </w:r>
          </w:p>
        </w:tc>
        <w:tc>
          <w:tcPr>
            <w:tcW w:w="970" w:type="dxa"/>
          </w:tcPr>
          <w:p w14:paraId="22ABA1C6" w14:textId="77777777" w:rsidR="00757204" w:rsidRPr="00974165" w:rsidRDefault="00757204" w:rsidP="00757204">
            <w:pPr>
              <w:cnfStyle w:val="000000100000" w:firstRow="0" w:lastRow="0" w:firstColumn="0" w:lastColumn="0" w:oddVBand="0" w:evenVBand="0" w:oddHBand="1" w:evenHBand="0" w:firstRowFirstColumn="0" w:firstRowLastColumn="0" w:lastRowFirstColumn="0" w:lastRowLastColumn="0"/>
              <w:rPr>
                <w:sz w:val="18"/>
                <w:szCs w:val="18"/>
                <w:lang w:val="en-GB"/>
              </w:rPr>
            </w:pPr>
            <w:r w:rsidRPr="00974165">
              <w:rPr>
                <w:sz w:val="18"/>
                <w:szCs w:val="18"/>
                <w:lang w:val="en-GB"/>
              </w:rPr>
              <w:t>Sustanon</w:t>
            </w:r>
          </w:p>
        </w:tc>
        <w:tc>
          <w:tcPr>
            <w:tcW w:w="971" w:type="dxa"/>
          </w:tcPr>
          <w:p w14:paraId="2D69FF40" w14:textId="77777777" w:rsidR="00757204" w:rsidRPr="00974165" w:rsidRDefault="00757204" w:rsidP="00757204">
            <w:pPr>
              <w:cnfStyle w:val="000000100000" w:firstRow="0" w:lastRow="0" w:firstColumn="0" w:lastColumn="0" w:oddVBand="0" w:evenVBand="0" w:oddHBand="1" w:evenHBand="0" w:firstRowFirstColumn="0" w:firstRowLastColumn="0" w:lastRowFirstColumn="0" w:lastRowLastColumn="0"/>
              <w:rPr>
                <w:sz w:val="18"/>
                <w:szCs w:val="18"/>
                <w:lang w:val="en-GB"/>
              </w:rPr>
            </w:pPr>
            <w:r w:rsidRPr="00974165">
              <w:rPr>
                <w:sz w:val="18"/>
                <w:szCs w:val="18"/>
                <w:lang w:val="en-GB"/>
              </w:rPr>
              <w:t>50 mg</w:t>
            </w:r>
          </w:p>
        </w:tc>
        <w:tc>
          <w:tcPr>
            <w:tcW w:w="970" w:type="dxa"/>
          </w:tcPr>
          <w:p w14:paraId="5671F751" w14:textId="77777777" w:rsidR="00757204" w:rsidRPr="00974165" w:rsidRDefault="00757204" w:rsidP="00615589">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974165">
              <w:rPr>
                <w:sz w:val="18"/>
                <w:szCs w:val="18"/>
                <w:lang w:val="en-GB"/>
              </w:rPr>
              <w:t>Every 2w</w:t>
            </w:r>
          </w:p>
        </w:tc>
        <w:tc>
          <w:tcPr>
            <w:tcW w:w="970" w:type="dxa"/>
          </w:tcPr>
          <w:p w14:paraId="6D29B9B0" w14:textId="77777777" w:rsidR="00757204" w:rsidRPr="00974165" w:rsidRDefault="00757204" w:rsidP="00615589">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974165">
              <w:rPr>
                <w:sz w:val="18"/>
                <w:szCs w:val="18"/>
                <w:lang w:val="en-GB"/>
              </w:rPr>
              <w:t>Start</w:t>
            </w:r>
          </w:p>
        </w:tc>
        <w:tc>
          <w:tcPr>
            <w:tcW w:w="971" w:type="dxa"/>
          </w:tcPr>
          <w:p w14:paraId="74C577EA" w14:textId="77777777" w:rsidR="00757204" w:rsidRPr="00974165" w:rsidRDefault="00757204" w:rsidP="00757204">
            <w:pPr>
              <w:cnfStyle w:val="000000100000" w:firstRow="0" w:lastRow="0" w:firstColumn="0" w:lastColumn="0" w:oddVBand="0" w:evenVBand="0" w:oddHBand="1" w:evenHBand="0" w:firstRowFirstColumn="0" w:firstRowLastColumn="0" w:lastRowFirstColumn="0" w:lastRowLastColumn="0"/>
              <w:rPr>
                <w:sz w:val="18"/>
                <w:szCs w:val="18"/>
                <w:lang w:val="en-GB"/>
              </w:rPr>
            </w:pPr>
            <w:r w:rsidRPr="00974165">
              <w:rPr>
                <w:sz w:val="18"/>
                <w:szCs w:val="18"/>
                <w:lang w:val="en-GB"/>
              </w:rPr>
              <w:t>Sustanon</w:t>
            </w:r>
          </w:p>
        </w:tc>
        <w:tc>
          <w:tcPr>
            <w:tcW w:w="970" w:type="dxa"/>
          </w:tcPr>
          <w:p w14:paraId="56964A43" w14:textId="77777777" w:rsidR="00757204" w:rsidRPr="00974165" w:rsidRDefault="00757204" w:rsidP="00757204">
            <w:pPr>
              <w:cnfStyle w:val="000000100000" w:firstRow="0" w:lastRow="0" w:firstColumn="0" w:lastColumn="0" w:oddVBand="0" w:evenVBand="0" w:oddHBand="1" w:evenHBand="0" w:firstRowFirstColumn="0" w:firstRowLastColumn="0" w:lastRowFirstColumn="0" w:lastRowLastColumn="0"/>
              <w:rPr>
                <w:sz w:val="18"/>
                <w:szCs w:val="18"/>
                <w:lang w:val="en-GB"/>
              </w:rPr>
            </w:pPr>
            <w:r w:rsidRPr="00974165">
              <w:rPr>
                <w:sz w:val="18"/>
                <w:szCs w:val="18"/>
                <w:lang w:val="en-GB"/>
              </w:rPr>
              <w:t>100 mg</w:t>
            </w:r>
          </w:p>
        </w:tc>
        <w:tc>
          <w:tcPr>
            <w:tcW w:w="971" w:type="dxa"/>
          </w:tcPr>
          <w:p w14:paraId="5EABC8BA" w14:textId="77777777" w:rsidR="00757204" w:rsidRPr="00974165" w:rsidRDefault="00757204" w:rsidP="00615589">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974165">
              <w:rPr>
                <w:sz w:val="18"/>
                <w:szCs w:val="18"/>
                <w:lang w:val="en-GB"/>
              </w:rPr>
              <w:t>Every 2w</w:t>
            </w:r>
          </w:p>
        </w:tc>
      </w:tr>
      <w:tr w:rsidR="00757204" w:rsidRPr="00974165" w14:paraId="39AD26BA" w14:textId="77777777" w:rsidTr="00AA3779">
        <w:trPr>
          <w:trHeight w:val="297"/>
        </w:trPr>
        <w:tc>
          <w:tcPr>
            <w:cnfStyle w:val="001000000000" w:firstRow="0" w:lastRow="0" w:firstColumn="1" w:lastColumn="0" w:oddVBand="0" w:evenVBand="0" w:oddHBand="0" w:evenHBand="0" w:firstRowFirstColumn="0" w:firstRowLastColumn="0" w:lastRowFirstColumn="0" w:lastRowLastColumn="0"/>
            <w:tcW w:w="970" w:type="dxa"/>
          </w:tcPr>
          <w:p w14:paraId="63AF2D46" w14:textId="77777777" w:rsidR="00757204" w:rsidRPr="00974165" w:rsidRDefault="00757204" w:rsidP="00615589">
            <w:pPr>
              <w:jc w:val="center"/>
              <w:rPr>
                <w:sz w:val="18"/>
                <w:szCs w:val="18"/>
                <w:lang w:val="en-GB"/>
              </w:rPr>
            </w:pPr>
            <w:r w:rsidRPr="00974165">
              <w:rPr>
                <w:sz w:val="18"/>
                <w:szCs w:val="18"/>
                <w:lang w:val="en-GB"/>
              </w:rPr>
              <w:t>6m</w:t>
            </w:r>
          </w:p>
        </w:tc>
        <w:tc>
          <w:tcPr>
            <w:tcW w:w="970" w:type="dxa"/>
          </w:tcPr>
          <w:p w14:paraId="5268B177" w14:textId="77777777" w:rsidR="00757204" w:rsidRPr="00974165" w:rsidRDefault="00757204" w:rsidP="00757204">
            <w:pPr>
              <w:cnfStyle w:val="000000000000" w:firstRow="0" w:lastRow="0" w:firstColumn="0" w:lastColumn="0" w:oddVBand="0" w:evenVBand="0" w:oddHBand="0" w:evenHBand="0" w:firstRowFirstColumn="0" w:firstRowLastColumn="0" w:lastRowFirstColumn="0" w:lastRowLastColumn="0"/>
              <w:rPr>
                <w:sz w:val="18"/>
                <w:szCs w:val="18"/>
                <w:lang w:val="en-GB"/>
              </w:rPr>
            </w:pPr>
            <w:r w:rsidRPr="00974165">
              <w:rPr>
                <w:sz w:val="18"/>
                <w:szCs w:val="18"/>
                <w:lang w:val="en-GB"/>
              </w:rPr>
              <w:t>Sustanon</w:t>
            </w:r>
          </w:p>
        </w:tc>
        <w:tc>
          <w:tcPr>
            <w:tcW w:w="971" w:type="dxa"/>
          </w:tcPr>
          <w:p w14:paraId="156D16AC" w14:textId="77777777" w:rsidR="00757204" w:rsidRPr="00974165" w:rsidRDefault="00757204" w:rsidP="00757204">
            <w:pPr>
              <w:cnfStyle w:val="000000000000" w:firstRow="0" w:lastRow="0" w:firstColumn="0" w:lastColumn="0" w:oddVBand="0" w:evenVBand="0" w:oddHBand="0" w:evenHBand="0" w:firstRowFirstColumn="0" w:firstRowLastColumn="0" w:lastRowFirstColumn="0" w:lastRowLastColumn="0"/>
              <w:rPr>
                <w:sz w:val="18"/>
                <w:szCs w:val="18"/>
                <w:lang w:val="en-GB"/>
              </w:rPr>
            </w:pPr>
            <w:r w:rsidRPr="00974165">
              <w:rPr>
                <w:sz w:val="18"/>
                <w:szCs w:val="18"/>
                <w:lang w:val="en-GB"/>
              </w:rPr>
              <w:t>75 mg</w:t>
            </w:r>
          </w:p>
        </w:tc>
        <w:tc>
          <w:tcPr>
            <w:tcW w:w="970" w:type="dxa"/>
          </w:tcPr>
          <w:p w14:paraId="150B824E" w14:textId="77777777" w:rsidR="00757204" w:rsidRPr="00974165" w:rsidRDefault="00757204" w:rsidP="00615589">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974165">
              <w:rPr>
                <w:sz w:val="18"/>
                <w:szCs w:val="18"/>
                <w:lang w:val="en-GB"/>
              </w:rPr>
              <w:t>Every 2w</w:t>
            </w:r>
          </w:p>
        </w:tc>
        <w:tc>
          <w:tcPr>
            <w:tcW w:w="970" w:type="dxa"/>
          </w:tcPr>
          <w:p w14:paraId="75929830" w14:textId="77777777" w:rsidR="00757204" w:rsidRPr="00974165" w:rsidRDefault="00757204" w:rsidP="00615589">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974165">
              <w:rPr>
                <w:sz w:val="18"/>
                <w:szCs w:val="18"/>
                <w:lang w:val="en-GB"/>
              </w:rPr>
              <w:t>6m</w:t>
            </w:r>
          </w:p>
        </w:tc>
        <w:tc>
          <w:tcPr>
            <w:tcW w:w="971" w:type="dxa"/>
          </w:tcPr>
          <w:p w14:paraId="13E56FF0" w14:textId="77777777" w:rsidR="00757204" w:rsidRPr="00974165" w:rsidRDefault="00757204" w:rsidP="00757204">
            <w:pPr>
              <w:cnfStyle w:val="000000000000" w:firstRow="0" w:lastRow="0" w:firstColumn="0" w:lastColumn="0" w:oddVBand="0" w:evenVBand="0" w:oddHBand="0" w:evenHBand="0" w:firstRowFirstColumn="0" w:firstRowLastColumn="0" w:lastRowFirstColumn="0" w:lastRowLastColumn="0"/>
              <w:rPr>
                <w:sz w:val="18"/>
                <w:szCs w:val="18"/>
                <w:lang w:val="en-GB"/>
              </w:rPr>
            </w:pPr>
            <w:r w:rsidRPr="00974165">
              <w:rPr>
                <w:sz w:val="18"/>
                <w:szCs w:val="18"/>
                <w:lang w:val="en-GB"/>
              </w:rPr>
              <w:t>Sustanon</w:t>
            </w:r>
          </w:p>
        </w:tc>
        <w:tc>
          <w:tcPr>
            <w:tcW w:w="970" w:type="dxa"/>
          </w:tcPr>
          <w:p w14:paraId="6403FF76" w14:textId="77777777" w:rsidR="00757204" w:rsidRPr="00974165" w:rsidRDefault="00757204" w:rsidP="00757204">
            <w:pPr>
              <w:cnfStyle w:val="000000000000" w:firstRow="0" w:lastRow="0" w:firstColumn="0" w:lastColumn="0" w:oddVBand="0" w:evenVBand="0" w:oddHBand="0" w:evenHBand="0" w:firstRowFirstColumn="0" w:firstRowLastColumn="0" w:lastRowFirstColumn="0" w:lastRowLastColumn="0"/>
              <w:rPr>
                <w:sz w:val="18"/>
                <w:szCs w:val="18"/>
                <w:lang w:val="en-GB"/>
              </w:rPr>
            </w:pPr>
            <w:r w:rsidRPr="00974165">
              <w:rPr>
                <w:sz w:val="18"/>
                <w:szCs w:val="18"/>
                <w:lang w:val="en-GB"/>
              </w:rPr>
              <w:t>125 mg</w:t>
            </w:r>
            <w:r w:rsidRPr="00974165">
              <w:rPr>
                <w:sz w:val="18"/>
                <w:szCs w:val="18"/>
                <w:lang w:val="en-GB"/>
              </w:rPr>
              <w:tab/>
            </w:r>
          </w:p>
        </w:tc>
        <w:tc>
          <w:tcPr>
            <w:tcW w:w="971" w:type="dxa"/>
          </w:tcPr>
          <w:p w14:paraId="086C3154" w14:textId="77777777" w:rsidR="00757204" w:rsidRPr="00974165" w:rsidRDefault="00757204" w:rsidP="00615589">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974165">
              <w:rPr>
                <w:sz w:val="18"/>
                <w:szCs w:val="18"/>
                <w:lang w:val="en-GB"/>
              </w:rPr>
              <w:t>Every 2w</w:t>
            </w:r>
          </w:p>
        </w:tc>
      </w:tr>
      <w:tr w:rsidR="00757204" w:rsidRPr="00974165" w14:paraId="686640C0" w14:textId="77777777" w:rsidTr="00AA377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70" w:type="dxa"/>
          </w:tcPr>
          <w:p w14:paraId="42B384C9" w14:textId="77777777" w:rsidR="00757204" w:rsidRPr="00974165" w:rsidRDefault="00757204" w:rsidP="00615589">
            <w:pPr>
              <w:jc w:val="center"/>
              <w:rPr>
                <w:sz w:val="18"/>
                <w:szCs w:val="18"/>
                <w:lang w:val="en-GB"/>
              </w:rPr>
            </w:pPr>
            <w:r w:rsidRPr="00974165">
              <w:rPr>
                <w:sz w:val="18"/>
                <w:szCs w:val="18"/>
                <w:lang w:val="en-GB"/>
              </w:rPr>
              <w:t>12m</w:t>
            </w:r>
          </w:p>
        </w:tc>
        <w:tc>
          <w:tcPr>
            <w:tcW w:w="970" w:type="dxa"/>
          </w:tcPr>
          <w:p w14:paraId="7BF9FD57" w14:textId="77777777" w:rsidR="00757204" w:rsidRPr="00974165" w:rsidRDefault="00757204" w:rsidP="00757204">
            <w:pPr>
              <w:cnfStyle w:val="000000100000" w:firstRow="0" w:lastRow="0" w:firstColumn="0" w:lastColumn="0" w:oddVBand="0" w:evenVBand="0" w:oddHBand="1" w:evenHBand="0" w:firstRowFirstColumn="0" w:firstRowLastColumn="0" w:lastRowFirstColumn="0" w:lastRowLastColumn="0"/>
              <w:rPr>
                <w:sz w:val="18"/>
                <w:szCs w:val="18"/>
                <w:lang w:val="en-GB"/>
              </w:rPr>
            </w:pPr>
            <w:r w:rsidRPr="00974165">
              <w:rPr>
                <w:sz w:val="18"/>
                <w:szCs w:val="18"/>
                <w:lang w:val="en-GB"/>
              </w:rPr>
              <w:t>Sustanon</w:t>
            </w:r>
          </w:p>
        </w:tc>
        <w:tc>
          <w:tcPr>
            <w:tcW w:w="971" w:type="dxa"/>
          </w:tcPr>
          <w:p w14:paraId="4078E924" w14:textId="77777777" w:rsidR="00757204" w:rsidRPr="00974165" w:rsidRDefault="00757204" w:rsidP="00757204">
            <w:pPr>
              <w:cnfStyle w:val="000000100000" w:firstRow="0" w:lastRow="0" w:firstColumn="0" w:lastColumn="0" w:oddVBand="0" w:evenVBand="0" w:oddHBand="1" w:evenHBand="0" w:firstRowFirstColumn="0" w:firstRowLastColumn="0" w:lastRowFirstColumn="0" w:lastRowLastColumn="0"/>
              <w:rPr>
                <w:sz w:val="18"/>
                <w:szCs w:val="18"/>
                <w:lang w:val="en-GB"/>
              </w:rPr>
            </w:pPr>
            <w:r w:rsidRPr="00974165">
              <w:rPr>
                <w:sz w:val="18"/>
                <w:szCs w:val="18"/>
                <w:lang w:val="en-GB"/>
              </w:rPr>
              <w:t>100 mg</w:t>
            </w:r>
          </w:p>
        </w:tc>
        <w:tc>
          <w:tcPr>
            <w:tcW w:w="970" w:type="dxa"/>
          </w:tcPr>
          <w:p w14:paraId="7994F1B3" w14:textId="77777777" w:rsidR="00757204" w:rsidRPr="00974165" w:rsidRDefault="00757204" w:rsidP="00615589">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974165">
              <w:rPr>
                <w:sz w:val="18"/>
                <w:szCs w:val="18"/>
                <w:lang w:val="en-GB"/>
              </w:rPr>
              <w:t>Every 2w</w:t>
            </w:r>
          </w:p>
        </w:tc>
        <w:tc>
          <w:tcPr>
            <w:tcW w:w="970" w:type="dxa"/>
          </w:tcPr>
          <w:p w14:paraId="6209683F" w14:textId="77777777" w:rsidR="00757204" w:rsidRPr="00974165" w:rsidRDefault="00757204" w:rsidP="00615589">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974165">
              <w:rPr>
                <w:sz w:val="18"/>
                <w:szCs w:val="18"/>
                <w:lang w:val="en-GB"/>
              </w:rPr>
              <w:t>12m</w:t>
            </w:r>
          </w:p>
        </w:tc>
        <w:tc>
          <w:tcPr>
            <w:tcW w:w="971" w:type="dxa"/>
          </w:tcPr>
          <w:p w14:paraId="1DF11B6B" w14:textId="77777777" w:rsidR="00757204" w:rsidRPr="00974165" w:rsidRDefault="00757204" w:rsidP="00757204">
            <w:pPr>
              <w:cnfStyle w:val="000000100000" w:firstRow="0" w:lastRow="0" w:firstColumn="0" w:lastColumn="0" w:oddVBand="0" w:evenVBand="0" w:oddHBand="1" w:evenHBand="0" w:firstRowFirstColumn="0" w:firstRowLastColumn="0" w:lastRowFirstColumn="0" w:lastRowLastColumn="0"/>
              <w:rPr>
                <w:sz w:val="18"/>
                <w:szCs w:val="18"/>
                <w:lang w:val="en-GB"/>
              </w:rPr>
            </w:pPr>
            <w:r w:rsidRPr="00974165">
              <w:rPr>
                <w:sz w:val="18"/>
                <w:szCs w:val="18"/>
                <w:lang w:val="en-GB"/>
              </w:rPr>
              <w:t>Sustanon</w:t>
            </w:r>
          </w:p>
        </w:tc>
        <w:tc>
          <w:tcPr>
            <w:tcW w:w="970" w:type="dxa"/>
          </w:tcPr>
          <w:p w14:paraId="45B5AC3E" w14:textId="77777777" w:rsidR="00757204" w:rsidRPr="00974165" w:rsidRDefault="00757204" w:rsidP="00757204">
            <w:pPr>
              <w:cnfStyle w:val="000000100000" w:firstRow="0" w:lastRow="0" w:firstColumn="0" w:lastColumn="0" w:oddVBand="0" w:evenVBand="0" w:oddHBand="1" w:evenHBand="0" w:firstRowFirstColumn="0" w:firstRowLastColumn="0" w:lastRowFirstColumn="0" w:lastRowLastColumn="0"/>
              <w:rPr>
                <w:sz w:val="18"/>
                <w:szCs w:val="18"/>
                <w:lang w:val="en-GB"/>
              </w:rPr>
            </w:pPr>
            <w:r w:rsidRPr="00974165">
              <w:rPr>
                <w:sz w:val="18"/>
                <w:szCs w:val="18"/>
                <w:lang w:val="en-GB"/>
              </w:rPr>
              <w:t>125 mg</w:t>
            </w:r>
            <w:r w:rsidRPr="00974165">
              <w:rPr>
                <w:sz w:val="18"/>
                <w:szCs w:val="18"/>
                <w:lang w:val="en-GB"/>
              </w:rPr>
              <w:tab/>
            </w:r>
          </w:p>
        </w:tc>
        <w:tc>
          <w:tcPr>
            <w:tcW w:w="971" w:type="dxa"/>
          </w:tcPr>
          <w:p w14:paraId="659D8E3A" w14:textId="77777777" w:rsidR="00757204" w:rsidRPr="00974165" w:rsidRDefault="00757204" w:rsidP="00615589">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974165">
              <w:rPr>
                <w:sz w:val="18"/>
                <w:szCs w:val="18"/>
                <w:lang w:val="en-GB"/>
              </w:rPr>
              <w:t>Every 2w</w:t>
            </w:r>
          </w:p>
        </w:tc>
      </w:tr>
      <w:tr w:rsidR="00757204" w:rsidRPr="00974165" w14:paraId="4D33145D" w14:textId="77777777" w:rsidTr="00AA3779">
        <w:trPr>
          <w:trHeight w:val="280"/>
        </w:trPr>
        <w:tc>
          <w:tcPr>
            <w:cnfStyle w:val="001000000000" w:firstRow="0" w:lastRow="0" w:firstColumn="1" w:lastColumn="0" w:oddVBand="0" w:evenVBand="0" w:oddHBand="0" w:evenHBand="0" w:firstRowFirstColumn="0" w:firstRowLastColumn="0" w:lastRowFirstColumn="0" w:lastRowLastColumn="0"/>
            <w:tcW w:w="970" w:type="dxa"/>
          </w:tcPr>
          <w:p w14:paraId="35CF055B" w14:textId="77777777" w:rsidR="00757204" w:rsidRPr="00974165" w:rsidRDefault="00757204" w:rsidP="00615589">
            <w:pPr>
              <w:jc w:val="center"/>
              <w:rPr>
                <w:sz w:val="18"/>
                <w:szCs w:val="18"/>
                <w:lang w:val="en-GB"/>
              </w:rPr>
            </w:pPr>
            <w:r w:rsidRPr="00974165">
              <w:rPr>
                <w:sz w:val="18"/>
                <w:szCs w:val="18"/>
                <w:lang w:val="en-GB"/>
              </w:rPr>
              <w:t>18m</w:t>
            </w:r>
          </w:p>
        </w:tc>
        <w:tc>
          <w:tcPr>
            <w:tcW w:w="970" w:type="dxa"/>
          </w:tcPr>
          <w:p w14:paraId="620D3458" w14:textId="77777777" w:rsidR="00757204" w:rsidRPr="00974165" w:rsidRDefault="00757204" w:rsidP="00757204">
            <w:pPr>
              <w:cnfStyle w:val="000000000000" w:firstRow="0" w:lastRow="0" w:firstColumn="0" w:lastColumn="0" w:oddVBand="0" w:evenVBand="0" w:oddHBand="0" w:evenHBand="0" w:firstRowFirstColumn="0" w:firstRowLastColumn="0" w:lastRowFirstColumn="0" w:lastRowLastColumn="0"/>
              <w:rPr>
                <w:sz w:val="18"/>
                <w:szCs w:val="18"/>
                <w:lang w:val="en-GB"/>
              </w:rPr>
            </w:pPr>
            <w:r w:rsidRPr="00974165">
              <w:rPr>
                <w:sz w:val="18"/>
                <w:szCs w:val="18"/>
                <w:lang w:val="en-GB"/>
              </w:rPr>
              <w:t>Sustanon</w:t>
            </w:r>
          </w:p>
        </w:tc>
        <w:tc>
          <w:tcPr>
            <w:tcW w:w="971" w:type="dxa"/>
          </w:tcPr>
          <w:p w14:paraId="2F9E0E54" w14:textId="77777777" w:rsidR="00757204" w:rsidRPr="00974165" w:rsidRDefault="00757204" w:rsidP="00757204">
            <w:pPr>
              <w:cnfStyle w:val="000000000000" w:firstRow="0" w:lastRow="0" w:firstColumn="0" w:lastColumn="0" w:oddVBand="0" w:evenVBand="0" w:oddHBand="0" w:evenHBand="0" w:firstRowFirstColumn="0" w:firstRowLastColumn="0" w:lastRowFirstColumn="0" w:lastRowLastColumn="0"/>
              <w:rPr>
                <w:sz w:val="18"/>
                <w:szCs w:val="18"/>
                <w:lang w:val="en-GB"/>
              </w:rPr>
            </w:pPr>
            <w:r w:rsidRPr="00974165">
              <w:rPr>
                <w:sz w:val="18"/>
                <w:szCs w:val="18"/>
                <w:lang w:val="en-GB"/>
              </w:rPr>
              <w:t>125 mg</w:t>
            </w:r>
          </w:p>
        </w:tc>
        <w:tc>
          <w:tcPr>
            <w:tcW w:w="970" w:type="dxa"/>
          </w:tcPr>
          <w:p w14:paraId="5D9877BE" w14:textId="77777777" w:rsidR="00757204" w:rsidRPr="00974165" w:rsidRDefault="00757204" w:rsidP="00615589">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974165">
              <w:rPr>
                <w:sz w:val="18"/>
                <w:szCs w:val="18"/>
                <w:lang w:val="en-GB"/>
              </w:rPr>
              <w:t>Every 2w</w:t>
            </w:r>
          </w:p>
        </w:tc>
        <w:tc>
          <w:tcPr>
            <w:tcW w:w="970" w:type="dxa"/>
          </w:tcPr>
          <w:p w14:paraId="3D369BF3" w14:textId="77777777" w:rsidR="00757204" w:rsidRPr="00974165" w:rsidRDefault="00757204" w:rsidP="00615589">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974165">
              <w:rPr>
                <w:sz w:val="18"/>
                <w:szCs w:val="18"/>
                <w:lang w:val="en-GB"/>
              </w:rPr>
              <w:t>18m</w:t>
            </w:r>
          </w:p>
        </w:tc>
        <w:tc>
          <w:tcPr>
            <w:tcW w:w="971" w:type="dxa"/>
          </w:tcPr>
          <w:p w14:paraId="730990A4" w14:textId="77777777" w:rsidR="00757204" w:rsidRPr="00974165" w:rsidRDefault="00757204" w:rsidP="00757204">
            <w:pPr>
              <w:cnfStyle w:val="000000000000" w:firstRow="0" w:lastRow="0" w:firstColumn="0" w:lastColumn="0" w:oddVBand="0" w:evenVBand="0" w:oddHBand="0" w:evenHBand="0" w:firstRowFirstColumn="0" w:firstRowLastColumn="0" w:lastRowFirstColumn="0" w:lastRowLastColumn="0"/>
              <w:rPr>
                <w:sz w:val="18"/>
                <w:szCs w:val="18"/>
                <w:lang w:val="en-GB"/>
              </w:rPr>
            </w:pPr>
            <w:r w:rsidRPr="00974165">
              <w:rPr>
                <w:sz w:val="18"/>
                <w:szCs w:val="18"/>
                <w:lang w:val="en-GB"/>
              </w:rPr>
              <w:t>Sustanon</w:t>
            </w:r>
          </w:p>
        </w:tc>
        <w:tc>
          <w:tcPr>
            <w:tcW w:w="970" w:type="dxa"/>
          </w:tcPr>
          <w:p w14:paraId="50FEDBD6" w14:textId="77777777" w:rsidR="00757204" w:rsidRPr="00974165" w:rsidRDefault="00757204" w:rsidP="00757204">
            <w:pPr>
              <w:cnfStyle w:val="000000000000" w:firstRow="0" w:lastRow="0" w:firstColumn="0" w:lastColumn="0" w:oddVBand="0" w:evenVBand="0" w:oddHBand="0" w:evenHBand="0" w:firstRowFirstColumn="0" w:firstRowLastColumn="0" w:lastRowFirstColumn="0" w:lastRowLastColumn="0"/>
              <w:rPr>
                <w:sz w:val="18"/>
                <w:szCs w:val="18"/>
                <w:lang w:val="en-GB"/>
              </w:rPr>
            </w:pPr>
            <w:r w:rsidRPr="00974165">
              <w:rPr>
                <w:sz w:val="18"/>
                <w:szCs w:val="18"/>
                <w:lang w:val="en-GB"/>
              </w:rPr>
              <w:t>125 mg</w:t>
            </w:r>
          </w:p>
        </w:tc>
        <w:tc>
          <w:tcPr>
            <w:tcW w:w="971" w:type="dxa"/>
          </w:tcPr>
          <w:p w14:paraId="5C448F1C" w14:textId="77777777" w:rsidR="00757204" w:rsidRPr="00974165" w:rsidRDefault="00757204" w:rsidP="00615589">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974165">
              <w:rPr>
                <w:sz w:val="18"/>
                <w:szCs w:val="18"/>
                <w:lang w:val="en-GB"/>
              </w:rPr>
              <w:t>Every 2w</w:t>
            </w:r>
          </w:p>
        </w:tc>
      </w:tr>
      <w:tr w:rsidR="00757204" w:rsidRPr="002A729A" w14:paraId="2FC4E012" w14:textId="77777777" w:rsidTr="00AA3779">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7763" w:type="dxa"/>
            <w:gridSpan w:val="8"/>
          </w:tcPr>
          <w:p w14:paraId="3BA122E8" w14:textId="39C48C31" w:rsidR="00757204" w:rsidRPr="00974165" w:rsidRDefault="00757204" w:rsidP="00493539">
            <w:pPr>
              <w:jc w:val="center"/>
              <w:rPr>
                <w:b w:val="0"/>
                <w:lang w:val="en-GB"/>
              </w:rPr>
            </w:pPr>
            <w:r w:rsidRPr="00974165">
              <w:rPr>
                <w:b w:val="0"/>
                <w:lang w:val="en-GB"/>
              </w:rPr>
              <w:t xml:space="preserve">Cross sex hormones Male to Female </w:t>
            </w:r>
            <w:r w:rsidR="00E22373">
              <w:rPr>
                <w:b w:val="0"/>
                <w:lang w:val="en-GB"/>
              </w:rPr>
              <w:t>trans</w:t>
            </w:r>
            <w:r w:rsidR="00493539">
              <w:rPr>
                <w:b w:val="0"/>
                <w:lang w:val="en-GB"/>
              </w:rPr>
              <w:t>gender</w:t>
            </w:r>
            <w:r w:rsidR="00E22373">
              <w:rPr>
                <w:b w:val="0"/>
                <w:lang w:val="en-GB"/>
              </w:rPr>
              <w:t xml:space="preserve"> </w:t>
            </w:r>
            <w:r w:rsidRPr="00974165">
              <w:rPr>
                <w:b w:val="0"/>
                <w:lang w:val="en-GB"/>
              </w:rPr>
              <w:t>adolescents</w:t>
            </w:r>
          </w:p>
        </w:tc>
      </w:tr>
      <w:tr w:rsidR="00757204" w:rsidRPr="00974165" w14:paraId="78C488E2" w14:textId="77777777" w:rsidTr="00AA3779">
        <w:trPr>
          <w:trHeight w:val="312"/>
        </w:trPr>
        <w:tc>
          <w:tcPr>
            <w:cnfStyle w:val="001000000000" w:firstRow="0" w:lastRow="0" w:firstColumn="1" w:lastColumn="0" w:oddVBand="0" w:evenVBand="0" w:oddHBand="0" w:evenHBand="0" w:firstRowFirstColumn="0" w:firstRowLastColumn="0" w:lastRowFirstColumn="0" w:lastRowLastColumn="0"/>
            <w:tcW w:w="1940" w:type="dxa"/>
            <w:gridSpan w:val="2"/>
          </w:tcPr>
          <w:p w14:paraId="2ED4D873" w14:textId="77777777" w:rsidR="00757204" w:rsidRPr="00974165" w:rsidRDefault="00757204" w:rsidP="00757204">
            <w:pPr>
              <w:jc w:val="center"/>
              <w:rPr>
                <w:sz w:val="18"/>
                <w:szCs w:val="18"/>
                <w:lang w:val="en-GB"/>
              </w:rPr>
            </w:pPr>
            <w:r w:rsidRPr="00974165">
              <w:rPr>
                <w:sz w:val="18"/>
                <w:szCs w:val="18"/>
                <w:lang w:val="en-GB"/>
              </w:rPr>
              <w:t>Time</w:t>
            </w:r>
          </w:p>
        </w:tc>
        <w:tc>
          <w:tcPr>
            <w:tcW w:w="1941" w:type="dxa"/>
            <w:gridSpan w:val="2"/>
          </w:tcPr>
          <w:p w14:paraId="36807950" w14:textId="77777777" w:rsidR="00757204" w:rsidRPr="00974165" w:rsidRDefault="00757204"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974165">
              <w:rPr>
                <w:sz w:val="18"/>
                <w:szCs w:val="18"/>
                <w:lang w:val="en-GB"/>
              </w:rPr>
              <w:t>Substance</w:t>
            </w:r>
          </w:p>
        </w:tc>
        <w:tc>
          <w:tcPr>
            <w:tcW w:w="1941" w:type="dxa"/>
            <w:gridSpan w:val="2"/>
          </w:tcPr>
          <w:p w14:paraId="79BABB1D" w14:textId="77777777" w:rsidR="00757204" w:rsidRPr="00974165" w:rsidRDefault="00757204"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974165">
              <w:rPr>
                <w:sz w:val="18"/>
                <w:szCs w:val="18"/>
                <w:lang w:val="en-GB"/>
              </w:rPr>
              <w:t>Dose</w:t>
            </w:r>
          </w:p>
        </w:tc>
        <w:tc>
          <w:tcPr>
            <w:tcW w:w="1941" w:type="dxa"/>
            <w:gridSpan w:val="2"/>
          </w:tcPr>
          <w:p w14:paraId="0BA94B90" w14:textId="77777777" w:rsidR="00757204" w:rsidRPr="00974165" w:rsidRDefault="00757204"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974165">
              <w:rPr>
                <w:sz w:val="18"/>
                <w:szCs w:val="18"/>
                <w:lang w:val="en-GB"/>
              </w:rPr>
              <w:t>DI</w:t>
            </w:r>
          </w:p>
        </w:tc>
      </w:tr>
      <w:tr w:rsidR="00757204" w:rsidRPr="00974165" w14:paraId="575D07CC" w14:textId="77777777" w:rsidTr="00AA377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40" w:type="dxa"/>
            <w:gridSpan w:val="2"/>
          </w:tcPr>
          <w:p w14:paraId="26C4416F" w14:textId="77777777" w:rsidR="00757204" w:rsidRPr="00974165" w:rsidRDefault="00757204" w:rsidP="00615589">
            <w:pPr>
              <w:jc w:val="center"/>
              <w:rPr>
                <w:sz w:val="18"/>
                <w:szCs w:val="18"/>
                <w:lang w:val="en-GB"/>
              </w:rPr>
            </w:pPr>
            <w:r w:rsidRPr="00974165">
              <w:rPr>
                <w:sz w:val="18"/>
                <w:szCs w:val="18"/>
                <w:lang w:val="en-GB"/>
              </w:rPr>
              <w:t>Start</w:t>
            </w:r>
          </w:p>
        </w:tc>
        <w:tc>
          <w:tcPr>
            <w:tcW w:w="1941" w:type="dxa"/>
            <w:gridSpan w:val="2"/>
          </w:tcPr>
          <w:p w14:paraId="520F1890" w14:textId="77777777" w:rsidR="00757204" w:rsidRPr="00974165" w:rsidRDefault="00757204" w:rsidP="00615589">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974165">
              <w:rPr>
                <w:sz w:val="18"/>
                <w:szCs w:val="18"/>
                <w:lang w:val="en-GB"/>
              </w:rPr>
              <w:t>17β-estradiol</w:t>
            </w:r>
          </w:p>
        </w:tc>
        <w:tc>
          <w:tcPr>
            <w:tcW w:w="1941" w:type="dxa"/>
            <w:gridSpan w:val="2"/>
          </w:tcPr>
          <w:p w14:paraId="282E32F7" w14:textId="5BE0965E" w:rsidR="00757204" w:rsidRPr="00974165" w:rsidRDefault="00615589" w:rsidP="00615589">
            <w:pP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 xml:space="preserve">               </w:t>
            </w:r>
            <w:r w:rsidR="00757204" w:rsidRPr="00974165">
              <w:rPr>
                <w:sz w:val="18"/>
                <w:szCs w:val="18"/>
                <w:lang w:val="en-GB"/>
              </w:rPr>
              <w:t>0,5 mg</w:t>
            </w:r>
          </w:p>
        </w:tc>
        <w:tc>
          <w:tcPr>
            <w:tcW w:w="1941" w:type="dxa"/>
            <w:gridSpan w:val="2"/>
          </w:tcPr>
          <w:p w14:paraId="0F6601BA" w14:textId="77777777" w:rsidR="00757204" w:rsidRPr="00974165" w:rsidRDefault="00757204" w:rsidP="00615589">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974165">
              <w:rPr>
                <w:sz w:val="18"/>
                <w:szCs w:val="18"/>
                <w:lang w:val="en-GB"/>
              </w:rPr>
              <w:t>Daily</w:t>
            </w:r>
          </w:p>
        </w:tc>
      </w:tr>
      <w:tr w:rsidR="00757204" w:rsidRPr="00974165" w14:paraId="597AB953" w14:textId="77777777" w:rsidTr="00AA3779">
        <w:trPr>
          <w:trHeight w:val="312"/>
        </w:trPr>
        <w:tc>
          <w:tcPr>
            <w:cnfStyle w:val="001000000000" w:firstRow="0" w:lastRow="0" w:firstColumn="1" w:lastColumn="0" w:oddVBand="0" w:evenVBand="0" w:oddHBand="0" w:evenHBand="0" w:firstRowFirstColumn="0" w:firstRowLastColumn="0" w:lastRowFirstColumn="0" w:lastRowLastColumn="0"/>
            <w:tcW w:w="1940" w:type="dxa"/>
            <w:gridSpan w:val="2"/>
          </w:tcPr>
          <w:p w14:paraId="27010509" w14:textId="77777777" w:rsidR="00757204" w:rsidRPr="00974165" w:rsidRDefault="00757204" w:rsidP="00615589">
            <w:pPr>
              <w:jc w:val="center"/>
              <w:rPr>
                <w:sz w:val="18"/>
                <w:szCs w:val="18"/>
                <w:lang w:val="en-GB"/>
              </w:rPr>
            </w:pPr>
            <w:r w:rsidRPr="00974165">
              <w:rPr>
                <w:sz w:val="18"/>
                <w:szCs w:val="18"/>
                <w:lang w:val="en-GB"/>
              </w:rPr>
              <w:t>6m</w:t>
            </w:r>
          </w:p>
        </w:tc>
        <w:tc>
          <w:tcPr>
            <w:tcW w:w="1941" w:type="dxa"/>
            <w:gridSpan w:val="2"/>
          </w:tcPr>
          <w:p w14:paraId="6D2B01A2" w14:textId="77777777" w:rsidR="00757204" w:rsidRPr="00974165" w:rsidRDefault="00757204" w:rsidP="00615589">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974165">
              <w:rPr>
                <w:sz w:val="18"/>
                <w:szCs w:val="18"/>
                <w:lang w:val="en-GB"/>
              </w:rPr>
              <w:t>17β-estradiol</w:t>
            </w:r>
          </w:p>
        </w:tc>
        <w:tc>
          <w:tcPr>
            <w:tcW w:w="1941" w:type="dxa"/>
            <w:gridSpan w:val="2"/>
          </w:tcPr>
          <w:p w14:paraId="25EA9C1D" w14:textId="280D007F" w:rsidR="00757204" w:rsidRPr="00974165" w:rsidRDefault="00615589" w:rsidP="00615589">
            <w:p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 xml:space="preserve">               </w:t>
            </w:r>
            <w:r w:rsidR="00757204" w:rsidRPr="00974165">
              <w:rPr>
                <w:sz w:val="18"/>
                <w:szCs w:val="18"/>
                <w:lang w:val="en-GB"/>
              </w:rPr>
              <w:t>0,75 mg</w:t>
            </w:r>
          </w:p>
        </w:tc>
        <w:tc>
          <w:tcPr>
            <w:tcW w:w="1941" w:type="dxa"/>
            <w:gridSpan w:val="2"/>
          </w:tcPr>
          <w:p w14:paraId="3473CC8B" w14:textId="77777777" w:rsidR="00757204" w:rsidRPr="00974165" w:rsidRDefault="00757204" w:rsidP="00615589">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974165">
              <w:rPr>
                <w:sz w:val="18"/>
                <w:szCs w:val="18"/>
                <w:lang w:val="en-GB"/>
              </w:rPr>
              <w:t>Daily</w:t>
            </w:r>
          </w:p>
        </w:tc>
      </w:tr>
      <w:tr w:rsidR="00757204" w:rsidRPr="00974165" w14:paraId="0A671ADD" w14:textId="77777777" w:rsidTr="00AA377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40" w:type="dxa"/>
            <w:gridSpan w:val="2"/>
          </w:tcPr>
          <w:p w14:paraId="54249445" w14:textId="77777777" w:rsidR="00757204" w:rsidRPr="00974165" w:rsidRDefault="00757204" w:rsidP="00615589">
            <w:pPr>
              <w:jc w:val="center"/>
              <w:rPr>
                <w:sz w:val="18"/>
                <w:szCs w:val="18"/>
                <w:lang w:val="en-GB"/>
              </w:rPr>
            </w:pPr>
            <w:r w:rsidRPr="00974165">
              <w:rPr>
                <w:sz w:val="18"/>
                <w:szCs w:val="18"/>
                <w:lang w:val="en-GB"/>
              </w:rPr>
              <w:t>12m</w:t>
            </w:r>
          </w:p>
        </w:tc>
        <w:tc>
          <w:tcPr>
            <w:tcW w:w="1941" w:type="dxa"/>
            <w:gridSpan w:val="2"/>
          </w:tcPr>
          <w:p w14:paraId="1A590338" w14:textId="77777777" w:rsidR="00757204" w:rsidRPr="00974165" w:rsidRDefault="00757204" w:rsidP="00615589">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974165">
              <w:rPr>
                <w:sz w:val="18"/>
                <w:szCs w:val="18"/>
                <w:lang w:val="en-GB"/>
              </w:rPr>
              <w:t>17β-estradiol</w:t>
            </w:r>
          </w:p>
        </w:tc>
        <w:tc>
          <w:tcPr>
            <w:tcW w:w="1941" w:type="dxa"/>
            <w:gridSpan w:val="2"/>
          </w:tcPr>
          <w:p w14:paraId="63DD4140" w14:textId="5F25CDAA" w:rsidR="00757204" w:rsidRPr="00974165" w:rsidRDefault="00615589" w:rsidP="00615589">
            <w:pP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 xml:space="preserve">               </w:t>
            </w:r>
            <w:r w:rsidR="00757204" w:rsidRPr="00974165">
              <w:rPr>
                <w:sz w:val="18"/>
                <w:szCs w:val="18"/>
                <w:lang w:val="en-GB"/>
              </w:rPr>
              <w:t>1 mg</w:t>
            </w:r>
          </w:p>
        </w:tc>
        <w:tc>
          <w:tcPr>
            <w:tcW w:w="1941" w:type="dxa"/>
            <w:gridSpan w:val="2"/>
          </w:tcPr>
          <w:p w14:paraId="3A1D2026" w14:textId="77777777" w:rsidR="00757204" w:rsidRPr="00974165" w:rsidRDefault="00757204" w:rsidP="00615589">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974165">
              <w:rPr>
                <w:sz w:val="18"/>
                <w:szCs w:val="18"/>
                <w:lang w:val="en-GB"/>
              </w:rPr>
              <w:t>Daily</w:t>
            </w:r>
          </w:p>
        </w:tc>
      </w:tr>
      <w:tr w:rsidR="00757204" w:rsidRPr="00974165" w14:paraId="7897FDCA" w14:textId="77777777" w:rsidTr="00AA3779">
        <w:trPr>
          <w:trHeight w:val="312"/>
        </w:trPr>
        <w:tc>
          <w:tcPr>
            <w:cnfStyle w:val="001000000000" w:firstRow="0" w:lastRow="0" w:firstColumn="1" w:lastColumn="0" w:oddVBand="0" w:evenVBand="0" w:oddHBand="0" w:evenHBand="0" w:firstRowFirstColumn="0" w:firstRowLastColumn="0" w:lastRowFirstColumn="0" w:lastRowLastColumn="0"/>
            <w:tcW w:w="1940" w:type="dxa"/>
            <w:gridSpan w:val="2"/>
          </w:tcPr>
          <w:p w14:paraId="307E4795" w14:textId="77777777" w:rsidR="00757204" w:rsidRPr="00974165" w:rsidRDefault="00757204" w:rsidP="00615589">
            <w:pPr>
              <w:jc w:val="center"/>
              <w:rPr>
                <w:sz w:val="18"/>
                <w:szCs w:val="18"/>
                <w:lang w:val="en-GB"/>
              </w:rPr>
            </w:pPr>
            <w:r w:rsidRPr="00974165">
              <w:rPr>
                <w:sz w:val="18"/>
                <w:szCs w:val="18"/>
                <w:lang w:val="en-GB"/>
              </w:rPr>
              <w:t>18m</w:t>
            </w:r>
          </w:p>
        </w:tc>
        <w:tc>
          <w:tcPr>
            <w:tcW w:w="1941" w:type="dxa"/>
            <w:gridSpan w:val="2"/>
          </w:tcPr>
          <w:p w14:paraId="778CFAEA" w14:textId="77777777" w:rsidR="00757204" w:rsidRPr="00974165" w:rsidRDefault="00757204" w:rsidP="00615589">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974165">
              <w:rPr>
                <w:sz w:val="18"/>
                <w:szCs w:val="18"/>
                <w:lang w:val="en-GB"/>
              </w:rPr>
              <w:t>17β-estradiol</w:t>
            </w:r>
          </w:p>
        </w:tc>
        <w:tc>
          <w:tcPr>
            <w:tcW w:w="1941" w:type="dxa"/>
            <w:gridSpan w:val="2"/>
          </w:tcPr>
          <w:p w14:paraId="7682D066" w14:textId="65AF7FC5" w:rsidR="00757204" w:rsidRPr="00974165" w:rsidRDefault="00615589" w:rsidP="00615589">
            <w:p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 xml:space="preserve">               </w:t>
            </w:r>
            <w:r w:rsidR="00757204" w:rsidRPr="00974165">
              <w:rPr>
                <w:sz w:val="18"/>
                <w:szCs w:val="18"/>
                <w:lang w:val="en-GB"/>
              </w:rPr>
              <w:t>1,5 mg</w:t>
            </w:r>
          </w:p>
        </w:tc>
        <w:tc>
          <w:tcPr>
            <w:tcW w:w="1941" w:type="dxa"/>
            <w:gridSpan w:val="2"/>
          </w:tcPr>
          <w:p w14:paraId="1381E0C1" w14:textId="77777777" w:rsidR="00757204" w:rsidRPr="00974165" w:rsidRDefault="00757204" w:rsidP="00615589">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974165">
              <w:rPr>
                <w:sz w:val="18"/>
                <w:szCs w:val="18"/>
                <w:lang w:val="en-GB"/>
              </w:rPr>
              <w:t>Daily</w:t>
            </w:r>
          </w:p>
        </w:tc>
      </w:tr>
      <w:tr w:rsidR="00757204" w:rsidRPr="00974165" w14:paraId="5CB13C56" w14:textId="77777777" w:rsidTr="00AA377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40" w:type="dxa"/>
            <w:gridSpan w:val="2"/>
          </w:tcPr>
          <w:p w14:paraId="79F018A1" w14:textId="77777777" w:rsidR="00757204" w:rsidRPr="00974165" w:rsidRDefault="00757204" w:rsidP="00615589">
            <w:pPr>
              <w:jc w:val="center"/>
              <w:rPr>
                <w:sz w:val="18"/>
                <w:szCs w:val="18"/>
                <w:lang w:val="en-GB"/>
              </w:rPr>
            </w:pPr>
            <w:r w:rsidRPr="00974165">
              <w:rPr>
                <w:sz w:val="18"/>
                <w:szCs w:val="18"/>
                <w:lang w:val="en-GB"/>
              </w:rPr>
              <w:t>24m</w:t>
            </w:r>
          </w:p>
        </w:tc>
        <w:tc>
          <w:tcPr>
            <w:tcW w:w="1941" w:type="dxa"/>
            <w:gridSpan w:val="2"/>
          </w:tcPr>
          <w:p w14:paraId="0AEDC836" w14:textId="77777777" w:rsidR="00757204" w:rsidRPr="00974165" w:rsidRDefault="00757204" w:rsidP="00615589">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974165">
              <w:rPr>
                <w:sz w:val="18"/>
                <w:szCs w:val="18"/>
                <w:lang w:val="en-GB"/>
              </w:rPr>
              <w:t>17β-estradiol</w:t>
            </w:r>
          </w:p>
        </w:tc>
        <w:tc>
          <w:tcPr>
            <w:tcW w:w="1941" w:type="dxa"/>
            <w:gridSpan w:val="2"/>
          </w:tcPr>
          <w:p w14:paraId="5F266C7F" w14:textId="203C6DDA" w:rsidR="00757204" w:rsidRPr="00974165" w:rsidRDefault="00615589" w:rsidP="00615589">
            <w:pP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 xml:space="preserve">               </w:t>
            </w:r>
            <w:r w:rsidR="00757204" w:rsidRPr="00974165">
              <w:rPr>
                <w:sz w:val="18"/>
                <w:szCs w:val="18"/>
                <w:lang w:val="en-GB"/>
              </w:rPr>
              <w:t>2 mg</w:t>
            </w:r>
          </w:p>
        </w:tc>
        <w:tc>
          <w:tcPr>
            <w:tcW w:w="1941" w:type="dxa"/>
            <w:gridSpan w:val="2"/>
          </w:tcPr>
          <w:p w14:paraId="601D3CC5" w14:textId="77777777" w:rsidR="00757204" w:rsidRPr="00974165" w:rsidRDefault="00757204" w:rsidP="00615589">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974165">
              <w:rPr>
                <w:sz w:val="18"/>
                <w:szCs w:val="18"/>
                <w:lang w:val="en-GB"/>
              </w:rPr>
              <w:t>Daily</w:t>
            </w:r>
          </w:p>
        </w:tc>
      </w:tr>
      <w:tr w:rsidR="00757204" w:rsidRPr="002A729A" w14:paraId="2EBCE4D2" w14:textId="77777777" w:rsidTr="00AA3779">
        <w:trPr>
          <w:trHeight w:val="297"/>
        </w:trPr>
        <w:tc>
          <w:tcPr>
            <w:cnfStyle w:val="001000000000" w:firstRow="0" w:lastRow="0" w:firstColumn="1" w:lastColumn="0" w:oddVBand="0" w:evenVBand="0" w:oddHBand="0" w:evenHBand="0" w:firstRowFirstColumn="0" w:firstRowLastColumn="0" w:lastRowFirstColumn="0" w:lastRowLastColumn="0"/>
            <w:tcW w:w="7763" w:type="dxa"/>
            <w:gridSpan w:val="8"/>
          </w:tcPr>
          <w:p w14:paraId="1664A93A" w14:textId="77777777" w:rsidR="00757204" w:rsidRPr="00974165" w:rsidRDefault="00757204" w:rsidP="00757204">
            <w:pPr>
              <w:rPr>
                <w:sz w:val="18"/>
                <w:szCs w:val="18"/>
                <w:lang w:val="en-GB"/>
              </w:rPr>
            </w:pPr>
            <w:r w:rsidRPr="00974165">
              <w:rPr>
                <w:sz w:val="18"/>
                <w:szCs w:val="18"/>
                <w:lang w:val="en-GB"/>
              </w:rPr>
              <w:t xml:space="preserve">+ Vit D 25000 U every 4w oral + calcium intake of 1200 – 1500 mg/day </w:t>
            </w:r>
          </w:p>
        </w:tc>
      </w:tr>
    </w:tbl>
    <w:p w14:paraId="1FA32275" w14:textId="77777777" w:rsidR="00757204" w:rsidRPr="00757204" w:rsidRDefault="00757204" w:rsidP="00757204">
      <w:pPr>
        <w:rPr>
          <w:sz w:val="18"/>
          <w:szCs w:val="18"/>
          <w:lang w:val="en-GB"/>
        </w:rPr>
      </w:pPr>
      <w:r w:rsidRPr="006E08CD">
        <w:rPr>
          <w:sz w:val="18"/>
          <w:szCs w:val="18"/>
          <w:lang w:val="en-GB"/>
        </w:rPr>
        <w:t>m: months, w: weeks. DI: dose interval.</w:t>
      </w:r>
    </w:p>
    <w:p w14:paraId="506DB7FF" w14:textId="3DACAD35" w:rsidR="008D5E57" w:rsidRDefault="008D5E57" w:rsidP="00C942CA">
      <w:pPr>
        <w:pStyle w:val="Kop2"/>
        <w:rPr>
          <w:lang w:val="en-GB"/>
        </w:rPr>
      </w:pPr>
      <w:bookmarkStart w:id="34" w:name="_Toc451961490"/>
      <w:r>
        <w:rPr>
          <w:lang w:val="en-GB"/>
        </w:rPr>
        <w:lastRenderedPageBreak/>
        <w:t>Part three</w:t>
      </w:r>
      <w:bookmarkEnd w:id="34"/>
    </w:p>
    <w:p w14:paraId="1C389525" w14:textId="77777777" w:rsidR="008D5E57" w:rsidRPr="008D5E57" w:rsidRDefault="008D5E57" w:rsidP="00C942CA">
      <w:pPr>
        <w:pStyle w:val="Kop3"/>
        <w:rPr>
          <w:lang w:val="en-GB"/>
        </w:rPr>
      </w:pPr>
      <w:bookmarkStart w:id="35" w:name="_Toc451961491"/>
      <w:r w:rsidRPr="008D5E57">
        <w:rPr>
          <w:lang w:val="en-GB"/>
        </w:rPr>
        <w:t>Patients</w:t>
      </w:r>
      <w:bookmarkEnd w:id="35"/>
    </w:p>
    <w:p w14:paraId="41BE684F" w14:textId="40F24A51" w:rsidR="008E2D70" w:rsidRDefault="002D2C5F" w:rsidP="001B47B3">
      <w:pPr>
        <w:spacing w:after="0" w:line="360" w:lineRule="auto"/>
        <w:jc w:val="both"/>
        <w:rPr>
          <w:lang w:val="en-GB"/>
        </w:rPr>
      </w:pPr>
      <w:r>
        <w:rPr>
          <w:lang w:val="en-GB"/>
        </w:rPr>
        <w:t>Biochemical data and d</w:t>
      </w:r>
      <w:r w:rsidR="0047142F">
        <w:rPr>
          <w:lang w:val="en-GB"/>
        </w:rPr>
        <w:t xml:space="preserve">ata on muscle strength, body composition and bone maturation </w:t>
      </w:r>
      <w:r w:rsidR="001B47B3">
        <w:rPr>
          <w:lang w:val="en-GB"/>
        </w:rPr>
        <w:t xml:space="preserve">were available </w:t>
      </w:r>
      <w:r w:rsidR="00537EC1">
        <w:rPr>
          <w:lang w:val="en-GB"/>
        </w:rPr>
        <w:t>in</w:t>
      </w:r>
      <w:r w:rsidR="00816FDD">
        <w:rPr>
          <w:lang w:val="en-GB"/>
        </w:rPr>
        <w:t xml:space="preserve"> 50</w:t>
      </w:r>
      <w:r w:rsidR="008D5E57">
        <w:rPr>
          <w:lang w:val="en-GB"/>
        </w:rPr>
        <w:t xml:space="preserve"> </w:t>
      </w:r>
      <w:r w:rsidR="00537EC1">
        <w:rPr>
          <w:lang w:val="en-GB"/>
        </w:rPr>
        <w:t xml:space="preserve">transgender </w:t>
      </w:r>
      <w:r w:rsidR="00D75DCB">
        <w:rPr>
          <w:lang w:val="en-GB"/>
        </w:rPr>
        <w:t xml:space="preserve">adolescents </w:t>
      </w:r>
      <w:r w:rsidR="00816FDD">
        <w:rPr>
          <w:lang w:val="en-GB"/>
        </w:rPr>
        <w:t>(35</w:t>
      </w:r>
      <w:r w:rsidR="00096960">
        <w:rPr>
          <w:lang w:val="en-GB"/>
        </w:rPr>
        <w:t xml:space="preserve"> FtM, </w:t>
      </w:r>
      <w:r w:rsidR="00816FDD">
        <w:rPr>
          <w:lang w:val="en-GB"/>
        </w:rPr>
        <w:t>15</w:t>
      </w:r>
      <w:r w:rsidR="00D80FB5">
        <w:rPr>
          <w:lang w:val="en-GB"/>
        </w:rPr>
        <w:t xml:space="preserve"> MtF)</w:t>
      </w:r>
      <w:r w:rsidR="008D5E57">
        <w:rPr>
          <w:lang w:val="en-GB"/>
        </w:rPr>
        <w:t xml:space="preserve"> who </w:t>
      </w:r>
      <w:r w:rsidR="00BF1B93">
        <w:rPr>
          <w:lang w:val="en-GB"/>
        </w:rPr>
        <w:t xml:space="preserve">used </w:t>
      </w:r>
      <w:r w:rsidR="00537EC1">
        <w:rPr>
          <w:lang w:val="en-GB"/>
        </w:rPr>
        <w:t>progestins between</w:t>
      </w:r>
      <w:r w:rsidR="008D5E57">
        <w:rPr>
          <w:lang w:val="en-GB"/>
        </w:rPr>
        <w:t xml:space="preserve"> 2011 </w:t>
      </w:r>
      <w:r w:rsidR="00537EC1">
        <w:rPr>
          <w:lang w:val="en-GB"/>
        </w:rPr>
        <w:t xml:space="preserve">and </w:t>
      </w:r>
      <w:r w:rsidR="008D5E57">
        <w:rPr>
          <w:lang w:val="en-GB"/>
        </w:rPr>
        <w:t>March 2016.</w:t>
      </w:r>
      <w:r w:rsidR="00707D81">
        <w:rPr>
          <w:lang w:val="en-GB"/>
        </w:rPr>
        <w:t xml:space="preserve"> </w:t>
      </w:r>
      <w:r w:rsidR="00F229CC">
        <w:rPr>
          <w:lang w:val="en-GB"/>
        </w:rPr>
        <w:t>Two patients were excluded because they had stopped treatment with L; one because of</w:t>
      </w:r>
      <w:r w:rsidR="00D80FB5">
        <w:rPr>
          <w:lang w:val="en-GB"/>
        </w:rPr>
        <w:t xml:space="preserve"> already</w:t>
      </w:r>
      <w:r w:rsidR="00F229CC">
        <w:rPr>
          <w:lang w:val="en-GB"/>
        </w:rPr>
        <w:t xml:space="preserve"> very low menstrual frequency and one patient stopped after one day of L because of</w:t>
      </w:r>
      <w:r w:rsidR="00E47461">
        <w:rPr>
          <w:lang w:val="en-GB"/>
        </w:rPr>
        <w:t xml:space="preserve"> </w:t>
      </w:r>
      <w:r>
        <w:rPr>
          <w:lang w:val="en-GB"/>
        </w:rPr>
        <w:t xml:space="preserve">hot </w:t>
      </w:r>
      <w:r w:rsidR="003952BD">
        <w:rPr>
          <w:lang w:val="en-GB"/>
        </w:rPr>
        <w:t>flushes</w:t>
      </w:r>
      <w:r w:rsidR="00F229CC">
        <w:rPr>
          <w:lang w:val="en-GB"/>
        </w:rPr>
        <w:t xml:space="preserve">. Both patients </w:t>
      </w:r>
      <w:r w:rsidR="00D80FB5">
        <w:rPr>
          <w:lang w:val="en-GB"/>
        </w:rPr>
        <w:t>did however</w:t>
      </w:r>
      <w:r w:rsidR="001F023A">
        <w:rPr>
          <w:lang w:val="en-GB"/>
        </w:rPr>
        <w:t>,</w:t>
      </w:r>
      <w:r w:rsidR="00D80FB5">
        <w:rPr>
          <w:lang w:val="en-GB"/>
        </w:rPr>
        <w:t xml:space="preserve"> start with CSH later.</w:t>
      </w:r>
      <w:r w:rsidR="00816FDD">
        <w:rPr>
          <w:lang w:val="en-GB"/>
        </w:rPr>
        <w:t xml:space="preserve"> </w:t>
      </w:r>
    </w:p>
    <w:p w14:paraId="5DE8C9E6" w14:textId="11B11AA2" w:rsidR="00757204" w:rsidRDefault="00816FDD" w:rsidP="001B47B3">
      <w:pPr>
        <w:spacing w:after="0" w:line="360" w:lineRule="auto"/>
        <w:jc w:val="both"/>
        <w:rPr>
          <w:i/>
          <w:lang w:val="en-GB"/>
        </w:rPr>
      </w:pPr>
      <w:r>
        <w:rPr>
          <w:lang w:val="en-GB"/>
        </w:rPr>
        <w:t>Of all</w:t>
      </w:r>
      <w:r w:rsidR="00A918E6">
        <w:rPr>
          <w:lang w:val="en-GB"/>
        </w:rPr>
        <w:t xml:space="preserve"> </w:t>
      </w:r>
      <w:r>
        <w:rPr>
          <w:lang w:val="en-GB"/>
        </w:rPr>
        <w:t>fifteen</w:t>
      </w:r>
      <w:r w:rsidR="00D80FB5">
        <w:rPr>
          <w:lang w:val="en-GB"/>
        </w:rPr>
        <w:t xml:space="preserve"> MtF adolescents</w:t>
      </w:r>
      <w:r>
        <w:rPr>
          <w:lang w:val="en-GB"/>
        </w:rPr>
        <w:t>, i</w:t>
      </w:r>
      <w:r w:rsidR="006A161A">
        <w:rPr>
          <w:lang w:val="en-GB"/>
        </w:rPr>
        <w:t xml:space="preserve">nvestigations at </w:t>
      </w:r>
      <w:r w:rsidR="00D80FB5">
        <w:rPr>
          <w:lang w:val="en-GB"/>
        </w:rPr>
        <w:t>both</w:t>
      </w:r>
      <w:r w:rsidR="00A918E6">
        <w:rPr>
          <w:lang w:val="en-GB"/>
        </w:rPr>
        <w:t xml:space="preserve"> </w:t>
      </w:r>
      <w:r w:rsidR="006A161A">
        <w:rPr>
          <w:lang w:val="en-GB"/>
        </w:rPr>
        <w:t>time points (</w:t>
      </w:r>
      <w:r w:rsidR="00A918E6">
        <w:rPr>
          <w:lang w:val="en-GB"/>
        </w:rPr>
        <w:t xml:space="preserve">start of CA </w:t>
      </w:r>
      <w:r w:rsidR="006A161A">
        <w:rPr>
          <w:lang w:val="en-GB"/>
        </w:rPr>
        <w:t>and</w:t>
      </w:r>
      <w:r w:rsidR="00A918E6">
        <w:rPr>
          <w:lang w:val="en-GB"/>
        </w:rPr>
        <w:t xml:space="preserve"> start of C</w:t>
      </w:r>
      <w:r w:rsidR="00DA5D7C">
        <w:rPr>
          <w:lang w:val="en-GB"/>
        </w:rPr>
        <w:t>A</w:t>
      </w:r>
      <w:r w:rsidR="00A918E6">
        <w:rPr>
          <w:lang w:val="en-GB"/>
        </w:rPr>
        <w:t>+E</w:t>
      </w:r>
      <w:r w:rsidR="006A161A">
        <w:rPr>
          <w:lang w:val="en-GB"/>
        </w:rPr>
        <w:t>)</w:t>
      </w:r>
      <w:r>
        <w:rPr>
          <w:lang w:val="en-GB"/>
        </w:rPr>
        <w:t xml:space="preserve"> were available</w:t>
      </w:r>
      <w:r w:rsidR="00D80FB5">
        <w:rPr>
          <w:lang w:val="en-GB"/>
        </w:rPr>
        <w:t>.</w:t>
      </w:r>
      <w:r w:rsidR="0047142F">
        <w:rPr>
          <w:lang w:val="en-GB"/>
        </w:rPr>
        <w:t xml:space="preserve"> </w:t>
      </w:r>
      <w:r w:rsidR="00C15812">
        <w:rPr>
          <w:lang w:val="en-GB"/>
        </w:rPr>
        <w:t xml:space="preserve">Summary of included </w:t>
      </w:r>
      <w:r w:rsidR="001B47B3">
        <w:rPr>
          <w:lang w:val="en-GB"/>
        </w:rPr>
        <w:t>adolesc</w:t>
      </w:r>
      <w:r w:rsidR="00C15812">
        <w:rPr>
          <w:lang w:val="en-GB"/>
        </w:rPr>
        <w:t xml:space="preserve">ents is represented in </w:t>
      </w:r>
      <w:r w:rsidR="00A44497">
        <w:rPr>
          <w:lang w:val="en-GB"/>
        </w:rPr>
        <w:t>figure</w:t>
      </w:r>
      <w:r w:rsidR="00C15812">
        <w:rPr>
          <w:lang w:val="en-GB"/>
        </w:rPr>
        <w:t xml:space="preserve"> 2.</w:t>
      </w:r>
    </w:p>
    <w:p w14:paraId="469663E1" w14:textId="636D0C1D" w:rsidR="00594BAD" w:rsidRPr="00594BAD" w:rsidRDefault="00594BAD" w:rsidP="00C942CA">
      <w:pPr>
        <w:pStyle w:val="Kop3"/>
        <w:rPr>
          <w:lang w:val="en-GB"/>
        </w:rPr>
      </w:pPr>
      <w:bookmarkStart w:id="36" w:name="_Toc451961492"/>
      <w:r w:rsidRPr="00594BAD">
        <w:rPr>
          <w:lang w:val="en-GB"/>
        </w:rPr>
        <w:t>Methods</w:t>
      </w:r>
      <w:bookmarkEnd w:id="36"/>
    </w:p>
    <w:p w14:paraId="12829B16" w14:textId="31D12B60" w:rsidR="00F2446A" w:rsidRDefault="00D75DCB" w:rsidP="00DA7F2A">
      <w:pPr>
        <w:spacing w:after="120" w:line="360" w:lineRule="auto"/>
        <w:jc w:val="both"/>
        <w:rPr>
          <w:lang w:val="en-GB"/>
        </w:rPr>
      </w:pPr>
      <w:r>
        <w:rPr>
          <w:lang w:val="en-GB"/>
        </w:rPr>
        <w:t>Before the initiation</w:t>
      </w:r>
      <w:r w:rsidR="00F2446A">
        <w:rPr>
          <w:lang w:val="en-GB"/>
        </w:rPr>
        <w:t xml:space="preserve"> of </w:t>
      </w:r>
      <w:r>
        <w:rPr>
          <w:lang w:val="en-GB"/>
        </w:rPr>
        <w:t>L and CA</w:t>
      </w:r>
      <w:r w:rsidR="00F2446A">
        <w:rPr>
          <w:lang w:val="en-GB"/>
        </w:rPr>
        <w:t xml:space="preserve"> </w:t>
      </w:r>
      <w:r w:rsidR="00017EBC">
        <w:rPr>
          <w:lang w:val="en-GB"/>
        </w:rPr>
        <w:t>and</w:t>
      </w:r>
      <w:r w:rsidR="00F2446A">
        <w:rPr>
          <w:lang w:val="en-GB"/>
        </w:rPr>
        <w:t xml:space="preserve"> at the start of combina</w:t>
      </w:r>
      <w:r w:rsidR="00017EBC">
        <w:rPr>
          <w:lang w:val="en-GB"/>
        </w:rPr>
        <w:t xml:space="preserve">tion therapy with CSH, a </w:t>
      </w:r>
      <w:r w:rsidR="001132A6">
        <w:rPr>
          <w:lang w:val="en-GB"/>
        </w:rPr>
        <w:t xml:space="preserve">fasting </w:t>
      </w:r>
      <w:r w:rsidR="00017EBC">
        <w:rPr>
          <w:lang w:val="en-GB"/>
        </w:rPr>
        <w:t>venous blood sample was taken</w:t>
      </w:r>
      <w:r w:rsidR="001132A6">
        <w:rPr>
          <w:lang w:val="en-GB"/>
        </w:rPr>
        <w:t xml:space="preserve"> (between 8 and 9 AM)</w:t>
      </w:r>
      <w:r w:rsidR="00017EBC">
        <w:rPr>
          <w:lang w:val="en-GB"/>
        </w:rPr>
        <w:t>,</w:t>
      </w:r>
      <w:r w:rsidR="007C16A5">
        <w:rPr>
          <w:lang w:val="en-GB"/>
        </w:rPr>
        <w:t xml:space="preserve"> a</w:t>
      </w:r>
      <w:r w:rsidR="00537EC1">
        <w:rPr>
          <w:lang w:val="en-GB"/>
        </w:rPr>
        <w:t xml:space="preserve"> spot</w:t>
      </w:r>
      <w:r w:rsidR="007C16A5">
        <w:rPr>
          <w:lang w:val="en-GB"/>
        </w:rPr>
        <w:t xml:space="preserve"> urine sample was collected,</w:t>
      </w:r>
      <w:r w:rsidR="00017EBC">
        <w:rPr>
          <w:lang w:val="en-GB"/>
        </w:rPr>
        <w:t xml:space="preserve"> ant</w:t>
      </w:r>
      <w:r w:rsidR="00AA514B">
        <w:rPr>
          <w:lang w:val="en-GB"/>
        </w:rPr>
        <w:t>h</w:t>
      </w:r>
      <w:r w:rsidR="00017EBC">
        <w:rPr>
          <w:lang w:val="en-GB"/>
        </w:rPr>
        <w:t>ropometric measurements, a DXA and p</w:t>
      </w:r>
      <w:r>
        <w:rPr>
          <w:lang w:val="en-GB"/>
        </w:rPr>
        <w:t>QCT scan and grip measurement were</w:t>
      </w:r>
      <w:r w:rsidR="00017EBC">
        <w:rPr>
          <w:lang w:val="en-GB"/>
        </w:rPr>
        <w:t xml:space="preserve"> performed.</w:t>
      </w:r>
      <w:r w:rsidR="006A161A">
        <w:rPr>
          <w:lang w:val="en-GB"/>
        </w:rPr>
        <w:t xml:space="preserve"> </w:t>
      </w:r>
    </w:p>
    <w:p w14:paraId="3D657E29" w14:textId="1309CA1C" w:rsidR="00005DC0" w:rsidRPr="00DA7F2A" w:rsidRDefault="000C455D" w:rsidP="00DA7F2A">
      <w:pPr>
        <w:spacing w:after="120" w:line="360" w:lineRule="auto"/>
        <w:jc w:val="both"/>
        <w:rPr>
          <w:lang w:val="en-GB"/>
        </w:rPr>
      </w:pPr>
      <w:r>
        <w:rPr>
          <w:i/>
          <w:lang w:val="en-GB"/>
        </w:rPr>
        <w:t>Ant</w:t>
      </w:r>
      <w:r w:rsidR="00AA514B">
        <w:rPr>
          <w:i/>
          <w:lang w:val="en-GB"/>
        </w:rPr>
        <w:t>h</w:t>
      </w:r>
      <w:r>
        <w:rPr>
          <w:i/>
          <w:lang w:val="en-GB"/>
        </w:rPr>
        <w:t>ropometrics:</w:t>
      </w:r>
      <w:r>
        <w:rPr>
          <w:lang w:val="en-GB"/>
        </w:rPr>
        <w:t xml:space="preserve"> body weight </w:t>
      </w:r>
      <w:r w:rsidR="00560E8B">
        <w:rPr>
          <w:lang w:val="en-GB"/>
        </w:rPr>
        <w:t>(</w:t>
      </w:r>
      <w:r w:rsidR="00560E8B" w:rsidRPr="00EB4664">
        <w:rPr>
          <w:lang w:val="en-GB"/>
        </w:rPr>
        <w:t>without shoes</w:t>
      </w:r>
      <w:r w:rsidR="00560E8B" w:rsidRPr="000C455D">
        <w:rPr>
          <w:lang w:val="en-GB"/>
        </w:rPr>
        <w:t xml:space="preserve"> </w:t>
      </w:r>
      <w:r w:rsidR="00560E8B" w:rsidRPr="00EB4664">
        <w:rPr>
          <w:lang w:val="en-GB"/>
        </w:rPr>
        <w:t>in light indoor</w:t>
      </w:r>
      <w:r w:rsidR="00560E8B" w:rsidRPr="000C455D">
        <w:rPr>
          <w:lang w:val="en-GB"/>
        </w:rPr>
        <w:t xml:space="preserve"> </w:t>
      </w:r>
      <w:r w:rsidR="00560E8B" w:rsidRPr="00EB4664">
        <w:rPr>
          <w:lang w:val="en-GB"/>
        </w:rPr>
        <w:t>clothing</w:t>
      </w:r>
      <w:r w:rsidR="00560E8B">
        <w:rPr>
          <w:lang w:val="en-GB"/>
        </w:rPr>
        <w:t xml:space="preserve">), </w:t>
      </w:r>
      <w:r w:rsidR="00537EC1">
        <w:rPr>
          <w:lang w:val="en-GB"/>
        </w:rPr>
        <w:t>height,</w:t>
      </w:r>
      <w:r w:rsidR="00560E8B">
        <w:rPr>
          <w:lang w:val="en-GB"/>
        </w:rPr>
        <w:t xml:space="preserve"> hip and waist circumference were</w:t>
      </w:r>
      <w:r>
        <w:rPr>
          <w:lang w:val="en-GB"/>
        </w:rPr>
        <w:t xml:space="preserve"> </w:t>
      </w:r>
      <w:r w:rsidR="00560E8B">
        <w:rPr>
          <w:lang w:val="en-GB"/>
        </w:rPr>
        <w:t>measured</w:t>
      </w:r>
      <w:r w:rsidR="00F00DE2">
        <w:rPr>
          <w:lang w:val="en-GB"/>
        </w:rPr>
        <w:t>. A</w:t>
      </w:r>
      <w:r w:rsidR="00F00DE2" w:rsidRPr="00EB4664">
        <w:rPr>
          <w:lang w:val="en-GB"/>
        </w:rPr>
        <w:t xml:space="preserve"> wall-mounted Harpenden stadiometer (Holtain, Ltd, Crymuch, UK)</w:t>
      </w:r>
      <w:r w:rsidR="00F00DE2">
        <w:rPr>
          <w:lang w:val="en-GB"/>
        </w:rPr>
        <w:t xml:space="preserve"> was used to measure height.</w:t>
      </w:r>
      <w:r w:rsidR="00560E8B">
        <w:rPr>
          <w:lang w:val="en-GB"/>
        </w:rPr>
        <w:t xml:space="preserve"> Waist circumference was measured between the lower rib and the iliac crest</w:t>
      </w:r>
      <w:r w:rsidR="006A161A">
        <w:rPr>
          <w:lang w:val="en-GB"/>
        </w:rPr>
        <w:t xml:space="preserve"> at the end of expiration</w:t>
      </w:r>
      <w:r w:rsidR="00560E8B">
        <w:rPr>
          <w:lang w:val="en-GB"/>
        </w:rPr>
        <w:t>, hip circumference was measured at the widest gluteal circumference.</w:t>
      </w:r>
    </w:p>
    <w:p w14:paraId="638927BE" w14:textId="68626541" w:rsidR="00757204" w:rsidRPr="00DA7F2A" w:rsidRDefault="000C455D" w:rsidP="00DA7F2A">
      <w:pPr>
        <w:spacing w:after="120" w:line="360" w:lineRule="auto"/>
        <w:jc w:val="both"/>
        <w:rPr>
          <w:lang w:val="en-GB"/>
        </w:rPr>
      </w:pPr>
      <w:r w:rsidRPr="0002646F">
        <w:rPr>
          <w:i/>
          <w:lang w:val="en-GB"/>
        </w:rPr>
        <w:t>Biochemical analyses</w:t>
      </w:r>
      <w:r>
        <w:rPr>
          <w:lang w:val="en-GB"/>
        </w:rPr>
        <w:t xml:space="preserve">: </w:t>
      </w:r>
      <w:r w:rsidR="006A161A">
        <w:rPr>
          <w:lang w:val="en-GB"/>
        </w:rPr>
        <w:t xml:space="preserve">Serum </w:t>
      </w:r>
      <w:r w:rsidR="00DA7F2A">
        <w:rPr>
          <w:lang w:val="en-GB"/>
        </w:rPr>
        <w:t>vitamin</w:t>
      </w:r>
      <w:r w:rsidR="005631EA">
        <w:rPr>
          <w:lang w:val="en-GB"/>
        </w:rPr>
        <w:t xml:space="preserve"> D</w:t>
      </w:r>
      <w:r w:rsidR="00E73D40">
        <w:rPr>
          <w:lang w:val="en-GB"/>
        </w:rPr>
        <w:t xml:space="preserve">, </w:t>
      </w:r>
      <w:r w:rsidR="00E73D40" w:rsidRPr="00E73D40">
        <w:rPr>
          <w:lang w:val="en-GB"/>
        </w:rPr>
        <w:t xml:space="preserve">Type </w:t>
      </w:r>
      <w:r w:rsidR="00E73D40" w:rsidRPr="00E73D40">
        <w:rPr>
          <w:bCs/>
          <w:lang w:val="en-GB"/>
        </w:rPr>
        <w:t>I collagen degradation product</w:t>
      </w:r>
      <w:r w:rsidR="007E1F7D">
        <w:rPr>
          <w:bCs/>
          <w:lang w:val="en-GB"/>
        </w:rPr>
        <w:t xml:space="preserve"> (DP1),</w:t>
      </w:r>
      <w:r w:rsidR="00E73D40" w:rsidRPr="00E73D40">
        <w:rPr>
          <w:lang w:val="en-GB"/>
        </w:rPr>
        <w:t xml:space="preserve"> </w:t>
      </w:r>
      <w:r w:rsidR="00E73D40" w:rsidRPr="00E73D40">
        <w:rPr>
          <w:bCs/>
          <w:lang w:val="en-GB"/>
        </w:rPr>
        <w:t>procollagen type</w:t>
      </w:r>
      <w:r w:rsidR="00E73D40" w:rsidRPr="00E73D40">
        <w:rPr>
          <w:lang w:val="en-GB"/>
        </w:rPr>
        <w:t xml:space="preserve"> I </w:t>
      </w:r>
      <w:r w:rsidR="00E73D40" w:rsidRPr="00E73D40">
        <w:rPr>
          <w:bCs/>
          <w:lang w:val="en-GB"/>
        </w:rPr>
        <w:t>N</w:t>
      </w:r>
      <w:r w:rsidR="00E73D40" w:rsidRPr="00E73D40">
        <w:rPr>
          <w:lang w:val="en-GB"/>
        </w:rPr>
        <w:t>-</w:t>
      </w:r>
      <w:r w:rsidR="00E73D40" w:rsidRPr="00E73D40">
        <w:rPr>
          <w:bCs/>
          <w:lang w:val="en-GB"/>
        </w:rPr>
        <w:t>terminal</w:t>
      </w:r>
      <w:r w:rsidR="00E73D40" w:rsidRPr="00E73D40">
        <w:rPr>
          <w:lang w:val="en-GB"/>
        </w:rPr>
        <w:t xml:space="preserve"> propeptide</w:t>
      </w:r>
      <w:r w:rsidR="007E1F7D">
        <w:rPr>
          <w:lang w:val="en-GB"/>
        </w:rPr>
        <w:t xml:space="preserve"> (P1NP)</w:t>
      </w:r>
      <w:r w:rsidR="006A161A">
        <w:rPr>
          <w:lang w:val="en-GB"/>
        </w:rPr>
        <w:t xml:space="preserve"> were determined. </w:t>
      </w:r>
      <w:r w:rsidR="002F0AFE">
        <w:rPr>
          <w:lang w:val="en-GB"/>
        </w:rPr>
        <w:t>Fractional c</w:t>
      </w:r>
      <w:r w:rsidR="007E1F7D">
        <w:rPr>
          <w:lang w:val="en-GB"/>
        </w:rPr>
        <w:t>alcium excretion (</w:t>
      </w:r>
      <w:r w:rsidR="002F0AFE">
        <w:rPr>
          <w:lang w:val="en-GB"/>
        </w:rPr>
        <w:t>f</w:t>
      </w:r>
      <w:r w:rsidR="007E1F7D">
        <w:rPr>
          <w:lang w:val="en-GB"/>
        </w:rPr>
        <w:t>Ca)</w:t>
      </w:r>
      <w:r w:rsidR="006A161A">
        <w:rPr>
          <w:lang w:val="en-GB"/>
        </w:rPr>
        <w:t xml:space="preserve"> was </w:t>
      </w:r>
      <w:r w:rsidR="00DA7F2A">
        <w:rPr>
          <w:lang w:val="en-GB"/>
        </w:rPr>
        <w:t xml:space="preserve">calculated </w:t>
      </w:r>
      <w:r w:rsidR="00604B01">
        <w:rPr>
          <w:lang w:val="en-GB"/>
        </w:rPr>
        <w:t>from</w:t>
      </w:r>
      <w:r w:rsidR="00DA7F2A">
        <w:rPr>
          <w:lang w:val="en-GB"/>
        </w:rPr>
        <w:t xml:space="preserve"> </w:t>
      </w:r>
      <w:r w:rsidR="00BF1B93">
        <w:rPr>
          <w:lang w:val="en-GB"/>
        </w:rPr>
        <w:t xml:space="preserve">the calcium </w:t>
      </w:r>
      <w:r w:rsidR="002F0AFE">
        <w:rPr>
          <w:lang w:val="en-GB"/>
        </w:rPr>
        <w:t xml:space="preserve">and </w:t>
      </w:r>
      <w:r w:rsidR="00DA7F2A">
        <w:rPr>
          <w:lang w:val="en-GB"/>
        </w:rPr>
        <w:t xml:space="preserve">creatinine </w:t>
      </w:r>
      <w:r w:rsidR="002F0AFE">
        <w:rPr>
          <w:lang w:val="en-GB"/>
        </w:rPr>
        <w:t>levels</w:t>
      </w:r>
      <w:r w:rsidR="00BF1B93">
        <w:rPr>
          <w:lang w:val="en-GB"/>
        </w:rPr>
        <w:t xml:space="preserve"> as</w:t>
      </w:r>
      <w:r w:rsidR="00DA7F2A">
        <w:rPr>
          <w:lang w:val="en-GB"/>
        </w:rPr>
        <w:t xml:space="preserve"> measured on</w:t>
      </w:r>
      <w:r w:rsidR="006A161A">
        <w:rPr>
          <w:lang w:val="en-GB"/>
        </w:rPr>
        <w:t xml:space="preserve"> a urine spot</w:t>
      </w:r>
      <w:r w:rsidR="002F0AFE">
        <w:rPr>
          <w:lang w:val="en-GB"/>
        </w:rPr>
        <w:t xml:space="preserve"> and blood sample</w:t>
      </w:r>
      <w:r w:rsidR="007E1F7D">
        <w:rPr>
          <w:lang w:val="en-GB"/>
        </w:rPr>
        <w:t>.</w:t>
      </w:r>
    </w:p>
    <w:p w14:paraId="1DBA6EBE" w14:textId="5BDAADDC" w:rsidR="00757204" w:rsidRPr="00604B01" w:rsidRDefault="00035D1C" w:rsidP="00604B01">
      <w:pPr>
        <w:spacing w:after="120" w:line="360" w:lineRule="auto"/>
        <w:jc w:val="both"/>
        <w:rPr>
          <w:lang w:val="en-GB"/>
        </w:rPr>
      </w:pPr>
      <w:r>
        <w:rPr>
          <w:i/>
          <w:lang w:val="en-GB"/>
        </w:rPr>
        <w:t xml:space="preserve">Grip strength: </w:t>
      </w:r>
      <w:r w:rsidRPr="00EB4664">
        <w:rPr>
          <w:lang w:val="en-GB"/>
        </w:rPr>
        <w:t>an adjustable hand-held standard grip device (JAMAR hand dynamometer, Sammons and Preston, Bolingbrook, IL, USA)</w:t>
      </w:r>
      <w:r>
        <w:rPr>
          <w:lang w:val="en-GB"/>
        </w:rPr>
        <w:t xml:space="preserve"> was used to determine grip strength at both the dominant and non-dominant hand. Grip strength was meas</w:t>
      </w:r>
      <w:r w:rsidR="000C0CEB">
        <w:rPr>
          <w:lang w:val="en-GB"/>
        </w:rPr>
        <w:t>ured three times at bot</w:t>
      </w:r>
      <w:r w:rsidR="00604B01">
        <w:rPr>
          <w:lang w:val="en-GB"/>
        </w:rPr>
        <w:t>h hands. The highest value was assumed</w:t>
      </w:r>
      <w:r w:rsidR="000C0CEB">
        <w:rPr>
          <w:lang w:val="en-GB"/>
        </w:rPr>
        <w:t xml:space="preserve"> to represent the maximum strength and inputted for analyses.</w:t>
      </w:r>
    </w:p>
    <w:p w14:paraId="251618F0" w14:textId="61120D0E" w:rsidR="00D667CA" w:rsidRPr="00604B01" w:rsidRDefault="009A2E4C" w:rsidP="00604B01">
      <w:pPr>
        <w:spacing w:after="120" w:line="360" w:lineRule="auto"/>
        <w:jc w:val="both"/>
        <w:rPr>
          <w:color w:val="FF0000"/>
          <w:lang w:val="en-GB"/>
        </w:rPr>
      </w:pPr>
      <w:r w:rsidRPr="009A2E4C">
        <w:rPr>
          <w:i/>
          <w:lang w:val="en-GB"/>
        </w:rPr>
        <w:t xml:space="preserve">DXA scan: </w:t>
      </w:r>
      <w:r w:rsidR="00D758BB" w:rsidRPr="00EB4664">
        <w:rPr>
          <w:lang w:val="en-GB"/>
        </w:rPr>
        <w:t>a</w:t>
      </w:r>
      <w:r w:rsidR="00005DC0">
        <w:rPr>
          <w:lang w:val="en-GB"/>
        </w:rPr>
        <w:t xml:space="preserve"> </w:t>
      </w:r>
      <w:r w:rsidR="00D758BB" w:rsidRPr="00EB4664">
        <w:rPr>
          <w:lang w:val="en-GB"/>
        </w:rPr>
        <w:t>Hologic Discovery device (Software Version 11.2.1, Hologic, Inc., Bedford, MA, USA)</w:t>
      </w:r>
      <w:r w:rsidR="00D758BB">
        <w:rPr>
          <w:lang w:val="en-GB"/>
        </w:rPr>
        <w:t xml:space="preserve"> was used</w:t>
      </w:r>
      <w:r w:rsidR="002D51EE">
        <w:rPr>
          <w:lang w:val="en-GB"/>
        </w:rPr>
        <w:t xml:space="preserve"> t</w:t>
      </w:r>
      <w:r w:rsidR="00D667CA">
        <w:rPr>
          <w:lang w:val="en-GB"/>
        </w:rPr>
        <w:t>o asses body composition</w:t>
      </w:r>
      <w:r w:rsidR="006A161A">
        <w:rPr>
          <w:lang w:val="en-GB"/>
        </w:rPr>
        <w:t xml:space="preserve">, </w:t>
      </w:r>
      <w:r w:rsidR="001A0B0A">
        <w:rPr>
          <w:lang w:val="en-GB"/>
        </w:rPr>
        <w:t xml:space="preserve">areal </w:t>
      </w:r>
      <w:r w:rsidR="00D667CA">
        <w:rPr>
          <w:lang w:val="en-GB"/>
        </w:rPr>
        <w:t>bone mineral content/density (aBMC/aBMD) and projected bone area of the spine, left proximal femur (femoral neck and total hip) and whole body</w:t>
      </w:r>
      <w:r w:rsidR="00CE77D0">
        <w:rPr>
          <w:lang w:val="en-GB"/>
        </w:rPr>
        <w:t>.</w:t>
      </w:r>
      <w:r w:rsidR="00D758BB">
        <w:rPr>
          <w:lang w:val="en-GB"/>
        </w:rPr>
        <w:t xml:space="preserve"> </w:t>
      </w:r>
      <w:r w:rsidR="002B4BBE">
        <w:rPr>
          <w:lang w:val="en-GB"/>
        </w:rPr>
        <w:t>Z-scores of DXA scan parameters were based on</w:t>
      </w:r>
      <w:r w:rsidR="00C1796D">
        <w:rPr>
          <w:lang w:val="en-GB"/>
        </w:rPr>
        <w:t xml:space="preserve"> data from the</w:t>
      </w:r>
      <w:r w:rsidR="002B4BBE">
        <w:rPr>
          <w:lang w:val="en-GB"/>
        </w:rPr>
        <w:t xml:space="preserve"> </w:t>
      </w:r>
      <w:r w:rsidR="00C1796D">
        <w:rPr>
          <w:lang w:val="en-GB"/>
        </w:rPr>
        <w:t xml:space="preserve">NHANES and BMDCS studies </w:t>
      </w:r>
      <w:r w:rsidR="007A3EDC">
        <w:rPr>
          <w:lang w:val="en-GB"/>
        </w:rPr>
        <w:fldChar w:fldCharType="begin" w:fldLock="1"/>
      </w:r>
      <w:r w:rsidR="002C52CA">
        <w:rPr>
          <w:lang w:val="en-GB"/>
        </w:rPr>
        <w:instrText>ADDIN CSL_CITATION { "citationItems" : [ { "id" : "ITEM-1", "itemData" : { "DOI" : "10.1371/journal.pone.0007038", "ISBN" : "1932-6203 (Electronic)", "ISSN" : "19326203", "PMID" : "19753111", "abstract" : "In 2008 the National Center for Health Statistics released a dual energy x-ray absorptiometry (DXA) whole body dataset from the NHANES population-based sample acquired with modern fan beam scanners in 15 counties across the United States from 1999 through 2004. The NHANES dataset was partitioned by gender and ethnicity and DXA whole body measures of %fat, fat mass/height(2), lean mass/height(2), appendicular lean mass/height(2), %fat trunk/%fat legs ratio, trunk/limb fat mass ratio of fat, bone mineral content (BMC) and bone mineral density (BMD) were analyzed to provide reference values for subjects 8 to 85 years old. DXA reference values for adults were normalized to age; reference values for children included total and sub-total whole body results and were normalized to age, height, or lean mass. We developed an obesity classification scheme by using estabbody mass index (BMI) classification thresholds and prevalences in young adults to generate matching classification thresholds for Fat Mass Index (FMI; fat mass/height(2)). These reference values should be helpful in the evaluation of a variety of adult and childhood abnormalities involving fat, lean, and bone, for establishing entry criteria into clinical trials, and for other medical, research, and epidemiological uses.", "author" : [ { "dropping-particle" : "", "family" : "Kelly", "given" : "Thomas L.", "non-dropping-particle" : "", "parse-names" : false, "suffix" : "" }, { "dropping-particle" : "", "family" : "Wilson", "given" : "Kevin E.", "non-dropping-particle" : "", "parse-names" : false, "suffix" : "" }, { "dropping-particle" : "", "family" : "Heymsfield", "given" : "Steven B.", "non-dropping-particle" : "", "parse-names" : false, "suffix" : "" } ], "container-title" : "PLoS ONE", "id" : "ITEM-1", "issue" : "9", "issued" : { "date-parts" : [ [ "2009" ] ] }, "page" : "2-9", "title" : "Dual energy X-ray absorptiometry body composition reference values from NHANES", "type" : "article-journal", "volume" : "4" }, "uris" : [ "http://www.mendeley.com/documents/?uuid=3a9835ce-65eb-4dda-9f2e-91b40cf3a68d" ] }, { "id" : "ITEM-2", "itemData" : { "DOI" : "10.1210/jc.2006-2553", "ISBN" : "0021-972X (Print)", "ISSN" : "0021972X", "PMID" : "17311856", "abstract" : "Context: Low bone mass may increase risk of fracture. Several chronic medical conditions, medications, and lifestyle factors affect bone mineral accrual. Appropriate reference values are essential for identification of children with bone deficits. Objective: Our objective was to establish reference curves for bone mineral content (BMC) and density (BMD) in children. Design and Setting: The Bone Mineral Density in Childhood Study is an ongoing longitudinal study in which measurements are obtained annually at five clinical centers in the United States. Participants: Participants included 1554 healthy children (761 male, 793 female), ages 6-16 yr, of all ethnicities. Main Outcome Measures: Scans of the whole body, lumbar spine, hip, and forearm were obtained using dual-energy x-ray absorptiometry. Percentile curves based on three annual measurements were generated using the LMS statistical procedure. Results: BMC of the whole body and lumbar spine and BMD of the whole body, lumbar spine, total hip, femoral neck, and forearm are given for specific percentiles by sex, age, and race (Black vs. non-Black). BMC and BMD were higher for Blacks at all skeletal sites (P &lt; 0.0001). BMC and BMD increased with age, and a plateau was not evident by age 16 (girls) or age 17 (boys). The variation in BMC and BMD also increased with age. Conclusions: Age-, race-, and sex-specific reference curves can be used to help identify children with bone deficits and for monitoring changes in bone in response to chronic diseases or therapies.", "author" : [ { "dropping-particle" : "", "family" : "Kalkwarf", "given" : "Heidi J.", "non-dropping-particle" : "", "parse-names" : false, "suffix" : "" }, { "dropping-particle" : "", "family" : "Zemel", "given" : "Babette S.", "non-dropping-particle" : "", "parse-names" : false, "suffix" : "" }, { "dropping-particle" : "", "family" : "Gilsanz", "given" : "Vicente", "non-dropping-particle" : "", "parse-names" : false, "suffix" : "" }, { "dropping-particle" : "", "family" : "Lappe", "given" : "Joan M.", "non-dropping-particle" : "", "parse-names" : false, "suffix" : "" }, { "dropping-particle" : "", "family" : "Horlick", "given" : "Mary", "non-dropping-particle" : "", "parse-names" : false, "suffix" : "" }, { "dropping-particle" : "", "family" : "Oberfield", "given" : "Sharon", "non-dropping-particle" : "", "parse-names" : false, "suffix" : "" }, { "dropping-particle" : "", "family" : "Mahboubi", "given" : "Soroosh", "non-dropping-particle" : "", "parse-names" : false, "suffix" : "" }, { "dropping-particle" : "", "family" : "Fan", "given" : "Bo", "non-dropping-particle" : "", "parse-names" : false, "suffix" : "" }, { "dropping-particle" : "", "family" : "Frederick", "given" : "Margaret M.", "non-dropping-particle" : "", "parse-names" : false, "suffix" : "" }, { "dropping-particle" : "", "family" : "Winer", "given" : "Karen", "non-dropping-particle" : "", "parse-names" : false, "suffix" : "" }, { "dropping-particle" : "", "family" : "Shepherd", "given" : "John A.", "non-dropping-particle" : "", "parse-names" : false, "suffix" : "" } ], "container-title" : "Journal of Clinical Endocrinology and Metabolism", "id" : "ITEM-2", "issue" : "6", "issued" : { "date-parts" : [ [ "2007" ] ] }, "page" : "2087-2099", "title" : "The bone mineral density in childhood study: Bone mineral content and density according to age, sex, and race", "type" : "article-journal", "volume" : "92" }, "uris" : [ "http://www.mendeley.com/documents/?uuid=77815c96-ea8e-4fb1-924f-066545b80a3c" ] } ], "mendeley" : { "formattedCitation" : "(52,53)", "plainTextFormattedCitation" : "(52,53)", "previouslyFormattedCitation" : "(52,53)" }, "properties" : { "noteIndex" : 0 }, "schema" : "https://github.com/citation-style-language/schema/raw/master/csl-citation.json" }</w:instrText>
      </w:r>
      <w:r w:rsidR="007A3EDC">
        <w:rPr>
          <w:lang w:val="en-GB"/>
        </w:rPr>
        <w:fldChar w:fldCharType="separate"/>
      </w:r>
      <w:r w:rsidR="00C7364E" w:rsidRPr="00C7364E">
        <w:rPr>
          <w:noProof/>
          <w:lang w:val="en-GB"/>
        </w:rPr>
        <w:t>(52,53)</w:t>
      </w:r>
      <w:r w:rsidR="007A3EDC">
        <w:rPr>
          <w:lang w:val="en-GB"/>
        </w:rPr>
        <w:fldChar w:fldCharType="end"/>
      </w:r>
      <w:r w:rsidR="00C1796D">
        <w:rPr>
          <w:lang w:val="en-GB"/>
        </w:rPr>
        <w:t>.</w:t>
      </w:r>
      <w:r w:rsidR="00171DAD">
        <w:rPr>
          <w:color w:val="FF0000"/>
          <w:lang w:val="en-GB"/>
        </w:rPr>
        <w:t xml:space="preserve"> </w:t>
      </w:r>
      <w:r w:rsidR="00171DAD" w:rsidRPr="00A16208">
        <w:rPr>
          <w:lang w:val="en-GB"/>
        </w:rPr>
        <w:t xml:space="preserve">Z-scores of BMD were calculated by the software </w:t>
      </w:r>
      <w:r w:rsidR="00A16208">
        <w:rPr>
          <w:lang w:val="en-GB"/>
        </w:rPr>
        <w:t xml:space="preserve">of the Hologic Discovery device, </w:t>
      </w:r>
      <w:r w:rsidR="00171DAD" w:rsidRPr="00A16208">
        <w:rPr>
          <w:lang w:val="en-GB"/>
        </w:rPr>
        <w:t xml:space="preserve">Z-scores of percentage of body fat were calculated manually, based on the data obtained </w:t>
      </w:r>
      <w:r w:rsidR="00934073" w:rsidRPr="00A16208">
        <w:rPr>
          <w:lang w:val="en-GB"/>
        </w:rPr>
        <w:t xml:space="preserve">by </w:t>
      </w:r>
      <w:r w:rsidR="00171DAD" w:rsidRPr="00A16208">
        <w:rPr>
          <w:lang w:val="en-GB"/>
        </w:rPr>
        <w:t xml:space="preserve">Hologic from the NHANES </w:t>
      </w:r>
      <w:r w:rsidR="00C43B55">
        <w:rPr>
          <w:lang w:val="en-GB"/>
        </w:rPr>
        <w:t>study</w:t>
      </w:r>
      <w:r w:rsidR="00171DAD" w:rsidRPr="00A16208">
        <w:rPr>
          <w:lang w:val="en-GB"/>
        </w:rPr>
        <w:t>.</w:t>
      </w:r>
    </w:p>
    <w:p w14:paraId="6E8DCC39" w14:textId="79698A5A" w:rsidR="00F512C2" w:rsidRPr="00E304EE" w:rsidRDefault="005969F1" w:rsidP="00DA7F2A">
      <w:pPr>
        <w:spacing w:after="0" w:line="360" w:lineRule="auto"/>
        <w:jc w:val="both"/>
        <w:rPr>
          <w:rFonts w:asciiTheme="majorHAnsi" w:eastAsiaTheme="majorEastAsia" w:hAnsiTheme="majorHAnsi" w:cstheme="majorBidi"/>
          <w:b/>
          <w:bCs/>
          <w:color w:val="365F91" w:themeColor="accent1" w:themeShade="BF"/>
          <w:sz w:val="28"/>
          <w:szCs w:val="28"/>
          <w:lang w:val="en-US"/>
        </w:rPr>
      </w:pPr>
      <w:r w:rsidRPr="007B1580">
        <w:rPr>
          <w:i/>
          <w:lang w:val="en-GB"/>
        </w:rPr>
        <w:t xml:space="preserve">pQCT scan: </w:t>
      </w:r>
      <w:r w:rsidR="00EB4664" w:rsidRPr="007B1580">
        <w:rPr>
          <w:lang w:val="en-GB"/>
        </w:rPr>
        <w:t>A pQCT device (XCT-2000, Stratec Medizintechnik, Pforzheim, Germany) was used to</w:t>
      </w:r>
      <w:r w:rsidR="0068659C">
        <w:rPr>
          <w:lang w:val="en-GB"/>
        </w:rPr>
        <w:t xml:space="preserve"> evaluate both the trabecular and cortical</w:t>
      </w:r>
      <w:r w:rsidR="00EB4664" w:rsidRPr="00EB4664">
        <w:rPr>
          <w:lang w:val="en-GB"/>
        </w:rPr>
        <w:t xml:space="preserve"> </w:t>
      </w:r>
      <w:r w:rsidR="001A0B0A">
        <w:rPr>
          <w:lang w:val="en-GB"/>
        </w:rPr>
        <w:t>volumetric bone mineral density (vBMD)</w:t>
      </w:r>
      <w:r w:rsidR="00EB4664" w:rsidRPr="00EB4664">
        <w:rPr>
          <w:lang w:val="en-GB"/>
        </w:rPr>
        <w:t xml:space="preserve"> and bone geometry at the </w:t>
      </w:r>
      <w:r w:rsidR="00D667CA">
        <w:rPr>
          <w:lang w:val="en-GB"/>
        </w:rPr>
        <w:t>non-</w:t>
      </w:r>
      <w:r w:rsidR="00EB4664" w:rsidRPr="00EB4664">
        <w:rPr>
          <w:lang w:val="en-GB"/>
        </w:rPr>
        <w:t xml:space="preserve">dominant </w:t>
      </w:r>
      <w:r w:rsidR="0068659C">
        <w:rPr>
          <w:lang w:val="en-GB"/>
        </w:rPr>
        <w:t xml:space="preserve">metaphysis and </w:t>
      </w:r>
      <w:r w:rsidR="0068659C" w:rsidRPr="00EB4664">
        <w:rPr>
          <w:lang w:val="en-GB"/>
        </w:rPr>
        <w:t>midshaft</w:t>
      </w:r>
      <w:r w:rsidR="0068659C">
        <w:rPr>
          <w:lang w:val="en-GB"/>
        </w:rPr>
        <w:t xml:space="preserve"> of the</w:t>
      </w:r>
      <w:r w:rsidR="00EB4664" w:rsidRPr="00EB4664">
        <w:rPr>
          <w:lang w:val="en-GB"/>
        </w:rPr>
        <w:t xml:space="preserve"> radius and </w:t>
      </w:r>
      <w:r w:rsidR="00971E80">
        <w:rPr>
          <w:lang w:val="en-GB"/>
        </w:rPr>
        <w:t xml:space="preserve">left </w:t>
      </w:r>
      <w:r w:rsidR="00EB4664" w:rsidRPr="00EB4664">
        <w:rPr>
          <w:lang w:val="en-GB"/>
        </w:rPr>
        <w:t xml:space="preserve">tibia (at </w:t>
      </w:r>
      <w:r w:rsidR="00971E80">
        <w:rPr>
          <w:lang w:val="en-GB"/>
        </w:rPr>
        <w:t xml:space="preserve">respectively </w:t>
      </w:r>
      <w:r w:rsidR="0068659C">
        <w:rPr>
          <w:lang w:val="en-GB"/>
        </w:rPr>
        <w:lastRenderedPageBreak/>
        <w:t xml:space="preserve">4% and </w:t>
      </w:r>
      <w:r w:rsidR="00EB4664" w:rsidRPr="00EB4664">
        <w:rPr>
          <w:lang w:val="en-GB"/>
        </w:rPr>
        <w:t>66%</w:t>
      </w:r>
      <w:r w:rsidR="0068659C">
        <w:rPr>
          <w:lang w:val="en-GB"/>
        </w:rPr>
        <w:t xml:space="preserve">; 4% and </w:t>
      </w:r>
      <w:r w:rsidR="00971E80">
        <w:rPr>
          <w:lang w:val="en-GB"/>
        </w:rPr>
        <w:t>38%</w:t>
      </w:r>
      <w:r w:rsidR="00EB4664" w:rsidRPr="00EB4664">
        <w:rPr>
          <w:lang w:val="en-GB"/>
        </w:rPr>
        <w:t xml:space="preserve"> of bone length).</w:t>
      </w:r>
      <w:r w:rsidR="0068659C">
        <w:rPr>
          <w:lang w:val="en-GB"/>
        </w:rPr>
        <w:t xml:space="preserve"> Muscle and fat areas were measured at the midshaft radius of the non-dominant arm and left tibia (66% and 38% respectively).</w:t>
      </w:r>
      <w:r w:rsidR="00D45197">
        <w:rPr>
          <w:lang w:val="en-GB"/>
        </w:rPr>
        <w:t xml:space="preserve"> </w:t>
      </w:r>
      <w:r w:rsidR="00D45197" w:rsidRPr="00A16208">
        <w:rPr>
          <w:lang w:val="en-GB"/>
        </w:rPr>
        <w:t xml:space="preserve">Z-scores of the radius were </w:t>
      </w:r>
      <w:r w:rsidR="00E304EE">
        <w:rPr>
          <w:lang w:val="en-GB"/>
        </w:rPr>
        <w:t>calculated by</w:t>
      </w:r>
      <w:r w:rsidR="00D45197" w:rsidRPr="00A16208">
        <w:rPr>
          <w:lang w:val="en-GB"/>
        </w:rPr>
        <w:t xml:space="preserve"> the software of Stratec.</w:t>
      </w:r>
      <w:r w:rsidR="00EB4664" w:rsidRPr="00A16208">
        <w:rPr>
          <w:lang w:val="en-GB"/>
        </w:rPr>
        <w:t xml:space="preserve"> </w:t>
      </w:r>
      <w:r w:rsidR="00757204" w:rsidRPr="00A16208">
        <w:rPr>
          <w:lang w:val="en-GB"/>
        </w:rPr>
        <w:t>Z</w:t>
      </w:r>
      <w:r w:rsidR="00757204">
        <w:rPr>
          <w:lang w:val="en-GB"/>
        </w:rPr>
        <w:t xml:space="preserve">-scores </w:t>
      </w:r>
      <w:r w:rsidR="00CE50DC">
        <w:rPr>
          <w:lang w:val="en-GB"/>
        </w:rPr>
        <w:t>of the tibia were</w:t>
      </w:r>
      <w:r w:rsidR="00757204">
        <w:rPr>
          <w:lang w:val="en-GB"/>
        </w:rPr>
        <w:t xml:space="preserve"> </w:t>
      </w:r>
      <w:r w:rsidR="00E304EE">
        <w:rPr>
          <w:lang w:val="en-GB"/>
        </w:rPr>
        <w:t xml:space="preserve">calculated manually </w:t>
      </w:r>
      <w:r w:rsidR="00537EC1">
        <w:rPr>
          <w:lang w:val="en-GB"/>
        </w:rPr>
        <w:t>using</w:t>
      </w:r>
      <w:r w:rsidR="00757204">
        <w:rPr>
          <w:lang w:val="en-GB"/>
        </w:rPr>
        <w:t xml:space="preserve"> </w:t>
      </w:r>
      <w:r w:rsidR="00CE50DC">
        <w:rPr>
          <w:lang w:val="en-GB"/>
        </w:rPr>
        <w:t xml:space="preserve">the </w:t>
      </w:r>
      <w:r w:rsidR="00D45197">
        <w:rPr>
          <w:lang w:val="en-GB"/>
        </w:rPr>
        <w:t>formulas</w:t>
      </w:r>
      <w:r w:rsidR="00CE50DC">
        <w:rPr>
          <w:lang w:val="en-GB"/>
        </w:rPr>
        <w:t xml:space="preserve"> </w:t>
      </w:r>
      <w:r w:rsidR="00E008F0">
        <w:rPr>
          <w:lang w:val="en-GB"/>
        </w:rPr>
        <w:t>publishe</w:t>
      </w:r>
      <w:r w:rsidR="001A2C27">
        <w:rPr>
          <w:lang w:val="en-GB"/>
        </w:rPr>
        <w:t xml:space="preserve">d </w:t>
      </w:r>
      <w:r w:rsidR="00CE50DC">
        <w:rPr>
          <w:lang w:val="en-GB"/>
        </w:rPr>
        <w:t xml:space="preserve">by Roggen et al. </w:t>
      </w:r>
      <w:r w:rsidR="007A3EDC">
        <w:rPr>
          <w:lang w:val="en-GB"/>
        </w:rPr>
        <w:fldChar w:fldCharType="begin" w:fldLock="1"/>
      </w:r>
      <w:r w:rsidR="002C52CA">
        <w:rPr>
          <w:lang w:val="en-GB"/>
        </w:rPr>
        <w:instrText>ADDIN CSL_CITATION { "citationItems" : [ { "id" : "ITEM-1", "itemData" : { "DOI" : "10.1007/s00223-015-9988-2", "ISSN" : "0171-967X", "author" : [ { "dropping-particle" : "", "family" : "Roggen", "given" : "Inge", "non-dropping-particle" : "", "parse-names" : false, "suffix" : "" }, { "dropping-particle" : "", "family" : "Roelants", "given" : "Mathieu", "non-dropping-particle" : "", "parse-names" : false, "suffix" : "" }, { "dropping-particle" : "", "family" : "Sioen", "given" : "Isabelle", "non-dropping-particle" : "", "parse-names" : false, "suffix" : "" }, { "dropping-particle" : "", "family" : "Vandewalle", "given" : "Sara", "non-dropping-particle" : "", "parse-names" : false, "suffix" : "" }, { "dropping-particle" : "", "family" : "Henauw", "given" : "Stefaan", "non-dropping-particle" : "De", "parse-names" : false, "suffix" : "" }, { "dropping-particle" : "", "family" : "Goemaere", "given" : "Stefan", "non-dropping-particle" : "", "parse-names" : false, "suffix" : "" }, { "dropping-particle" : "", "family" : "Kaufman", "given" : "Jean-Marc", "non-dropping-particle" : "", "parse-names" : false, "suffix" : "" }, { "dropping-particle" : "", "family" : "Schepper", "given" : "Jean", "non-dropping-particle" : "De", "parse-names" : false, "suffix" : "" } ], "container-title" : "Calcified Tissue International", "id" : "ITEM-1", "issue" : "6", "issued" : { "date-parts" : [ [ "2015" ] ] }, "page" : "527-533", "title" : "Pediatric reference values for tibial trabecular bone mineral density and bone geometry parameters using peripheral quantitative computed tomography. - PubMed - NCBI", "type" : "article-journal", "volume" : "96" }, "uris" : [ "http://www.mendeley.com/documents/?uuid=9cd58374-ffa5-4c54-ad4f-ae20f6c074e9" ] } ], "mendeley" : { "formattedCitation" : "(54)", "plainTextFormattedCitation" : "(54)", "previouslyFormattedCitation" : "(54)" }, "properties" : { "noteIndex" : 0 }, "schema" : "https://github.com/citation-style-language/schema/raw/master/csl-citation.json" }</w:instrText>
      </w:r>
      <w:r w:rsidR="007A3EDC">
        <w:rPr>
          <w:lang w:val="en-GB"/>
        </w:rPr>
        <w:fldChar w:fldCharType="separate"/>
      </w:r>
      <w:r w:rsidR="00C7364E" w:rsidRPr="00C7364E">
        <w:rPr>
          <w:noProof/>
          <w:lang w:val="en-US"/>
        </w:rPr>
        <w:t>(54)</w:t>
      </w:r>
      <w:r w:rsidR="007A3EDC">
        <w:rPr>
          <w:lang w:val="en-GB"/>
        </w:rPr>
        <w:fldChar w:fldCharType="end"/>
      </w:r>
      <w:r w:rsidR="00B63286">
        <w:rPr>
          <w:lang w:val="en-GB"/>
        </w:rPr>
        <w:t xml:space="preserve"> </w:t>
      </w:r>
      <w:r w:rsidR="00BF0F29">
        <w:rPr>
          <w:lang w:val="en-GB"/>
        </w:rPr>
        <w:t xml:space="preserve">based </w:t>
      </w:r>
      <w:r w:rsidR="00B63286">
        <w:rPr>
          <w:lang w:val="en-GB"/>
        </w:rPr>
        <w:t xml:space="preserve">on </w:t>
      </w:r>
      <w:r w:rsidR="00554FEA">
        <w:rPr>
          <w:lang w:val="en-GB"/>
        </w:rPr>
        <w:t>results of</w:t>
      </w:r>
      <w:r w:rsidR="00783B6A">
        <w:rPr>
          <w:lang w:val="en-GB"/>
        </w:rPr>
        <w:t xml:space="preserve"> the same </w:t>
      </w:r>
      <w:r w:rsidR="00B63286">
        <w:rPr>
          <w:lang w:val="en-GB"/>
        </w:rPr>
        <w:t>pQCT device</w:t>
      </w:r>
      <w:r w:rsidR="00CE50DC" w:rsidRPr="00E304EE">
        <w:rPr>
          <w:lang w:val="en-US"/>
        </w:rPr>
        <w:t>.</w:t>
      </w:r>
      <w:r w:rsidR="00F512C2" w:rsidRPr="00E304EE">
        <w:rPr>
          <w:lang w:val="en-US"/>
        </w:rPr>
        <w:br w:type="page"/>
      </w:r>
    </w:p>
    <w:p w14:paraId="33661076" w14:textId="552CFAFE" w:rsidR="00B03E48" w:rsidRPr="00D4001A" w:rsidRDefault="00B03E48" w:rsidP="00C942CA">
      <w:pPr>
        <w:pStyle w:val="Kop1"/>
        <w:rPr>
          <w:lang w:val="en-GB"/>
        </w:rPr>
      </w:pPr>
      <w:bookmarkStart w:id="37" w:name="_Toc451961493"/>
      <w:r w:rsidRPr="00D4001A">
        <w:rPr>
          <w:lang w:val="en-GB"/>
        </w:rPr>
        <w:lastRenderedPageBreak/>
        <w:t>Results</w:t>
      </w:r>
      <w:bookmarkEnd w:id="37"/>
      <w:r w:rsidRPr="00D4001A">
        <w:rPr>
          <w:lang w:val="en-GB"/>
        </w:rPr>
        <w:t xml:space="preserve"> </w:t>
      </w:r>
    </w:p>
    <w:p w14:paraId="6D924E70" w14:textId="048E71D0" w:rsidR="00D1102E" w:rsidRDefault="000B55C0" w:rsidP="00C942CA">
      <w:pPr>
        <w:pStyle w:val="Kop2"/>
        <w:rPr>
          <w:lang w:val="en-US"/>
        </w:rPr>
      </w:pPr>
      <w:bookmarkStart w:id="38" w:name="_Toc451961494"/>
      <w:r>
        <w:rPr>
          <w:lang w:val="en-GB"/>
        </w:rPr>
        <w:t>Lynestrenol in Female to Male</w:t>
      </w:r>
      <w:r w:rsidRPr="000B55C0">
        <w:rPr>
          <w:lang w:val="en-US"/>
        </w:rPr>
        <w:t xml:space="preserve"> adolescents</w:t>
      </w:r>
      <w:bookmarkEnd w:id="38"/>
    </w:p>
    <w:p w14:paraId="77938EB9" w14:textId="262ED8A5" w:rsidR="000B55C0" w:rsidRPr="000B55C0" w:rsidRDefault="000B55C0" w:rsidP="000B55C0">
      <w:pPr>
        <w:rPr>
          <w:lang w:val="en-US"/>
        </w:rPr>
      </w:pPr>
      <w:r w:rsidRPr="002D0E68">
        <w:rPr>
          <w:lang w:val="en-US"/>
        </w:rPr>
        <w:t>Result of this study have been publishe</w:t>
      </w:r>
      <w:r w:rsidR="00554FEA" w:rsidRPr="002D0E68">
        <w:rPr>
          <w:lang w:val="en-US"/>
        </w:rPr>
        <w:t>d in biology of sex differences</w:t>
      </w:r>
      <w:r w:rsidR="006B22B2" w:rsidRPr="002D0E68">
        <w:rPr>
          <w:lang w:val="en-US"/>
        </w:rPr>
        <w:t xml:space="preserve"> </w:t>
      </w:r>
      <w:r w:rsidR="00CA6C11" w:rsidRPr="002D0E68">
        <w:rPr>
          <w:lang w:val="en-US"/>
        </w:rPr>
        <w:t>i</w:t>
      </w:r>
      <w:r w:rsidR="006B22B2" w:rsidRPr="002D0E68">
        <w:rPr>
          <w:lang w:val="en-US"/>
        </w:rPr>
        <w:t>n February 2016</w:t>
      </w:r>
      <w:r w:rsidR="00554FEA" w:rsidRPr="002D0E68">
        <w:rPr>
          <w:lang w:val="en-US"/>
        </w:rPr>
        <w:t xml:space="preserve"> </w:t>
      </w:r>
      <w:r w:rsidR="00554FEA" w:rsidRPr="002D0E68">
        <w:rPr>
          <w:lang w:val="en-US"/>
        </w:rPr>
        <w:fldChar w:fldCharType="begin" w:fldLock="1"/>
      </w:r>
      <w:r w:rsidR="002C52CA" w:rsidRPr="002D0E68">
        <w:rPr>
          <w:lang w:val="en-US"/>
        </w:rPr>
        <w:instrText>ADDIN CSL_CITATION { "citationItems" : [ { "id" : "ITEM-1", "itemData" : { "DOI" : "10.1186/s13293-016-0067-9", "ISSN" : "2042-6410", "author" : [ { "dropping-particle" : "", "family" : "Tack", "given" : "Lloyd J. W.", "non-dropping-particle" : "", "parse-names" : false, "suffix" : "" }, { "dropping-particle" : "", "family" : "Craen", "given" : "Margarita", "non-dropping-particle" : "", "parse-names" : false, "suffix" : "" }, { "dropping-particle" : "", "family" : "Dhondt", "given" : "Karlien", "non-dropping-particle" : "", "parse-names" : false, "suffix" : "" }, { "dropping-particle" : "", "family" : "Bossche", "given" : "Heidi", "non-dropping-particle" : "Vanden", "parse-names" : false, "suffix" : "" }, { "dropping-particle" : "", "family" : "Laridaen", "given" : "Jolien", "non-dropping-particle" : "", "parse-names" : false, "suffix" : "" }, { "dropping-particle" : "", "family" : "Cools", "given" : "Martine", "non-dropping-particle" : "", "parse-names" : false, "suffix" : "" } ], "container-title" : "Biology of Sex Differences", "id" : "ITEM-1", "issue" : "1", "issued" : { "date-parts" : [ [ "2016" ] ] }, "page" : "14", "publisher" : "Biology of Sex Differences", "title" : "Consecutive lynestrenol and cross-sex hormone treatment in biological female adolescents with gender dysphoria: a retrospective analysis", "type" : "article-journal", "volume" : "7" }, "uris" : [ "http://www.mendeley.com/documents/?uuid=7b973bd8-b411-4207-a0cf-44d4f7d85849" ] } ], "mendeley" : { "formattedCitation" : "(50)", "plainTextFormattedCitation" : "(50)", "previouslyFormattedCitation" : "(50)" }, "properties" : { "noteIndex" : 0 }, "schema" : "https://github.com/citation-style-language/schema/raw/master/csl-citation.json" }</w:instrText>
      </w:r>
      <w:r w:rsidR="00554FEA" w:rsidRPr="002D0E68">
        <w:rPr>
          <w:lang w:val="en-US"/>
        </w:rPr>
        <w:fldChar w:fldCharType="separate"/>
      </w:r>
      <w:r w:rsidR="00C7364E" w:rsidRPr="002D0E68">
        <w:rPr>
          <w:noProof/>
          <w:lang w:val="en-US"/>
        </w:rPr>
        <w:t>(50)</w:t>
      </w:r>
      <w:r w:rsidR="00554FEA" w:rsidRPr="002D0E68">
        <w:rPr>
          <w:lang w:val="en-US"/>
        </w:rPr>
        <w:fldChar w:fldCharType="end"/>
      </w:r>
      <w:r w:rsidRPr="002D0E68">
        <w:rPr>
          <w:lang w:val="en-US"/>
        </w:rPr>
        <w:t>.</w:t>
      </w:r>
    </w:p>
    <w:p w14:paraId="20D81B25" w14:textId="77777777" w:rsidR="007A063A" w:rsidRPr="00CE715D" w:rsidRDefault="007A063A" w:rsidP="00C942CA">
      <w:pPr>
        <w:pStyle w:val="Kop3"/>
        <w:rPr>
          <w:lang w:val="en-GB"/>
        </w:rPr>
      </w:pPr>
      <w:bookmarkStart w:id="39" w:name="_Toc451961495"/>
      <w:r w:rsidRPr="00CE715D">
        <w:rPr>
          <w:lang w:val="en-GB"/>
        </w:rPr>
        <w:t>Patient and treatment characteristics</w:t>
      </w:r>
      <w:bookmarkEnd w:id="39"/>
    </w:p>
    <w:p w14:paraId="1D96290B" w14:textId="2E062689" w:rsidR="004514E6" w:rsidRPr="00CE715D" w:rsidRDefault="007A063A" w:rsidP="00554FEA">
      <w:pPr>
        <w:spacing w:after="0"/>
        <w:jc w:val="both"/>
        <w:rPr>
          <w:bCs/>
          <w:lang w:val="en-GB"/>
        </w:rPr>
      </w:pPr>
      <w:r w:rsidRPr="00CE715D">
        <w:rPr>
          <w:bCs/>
          <w:lang w:val="en-GB"/>
        </w:rPr>
        <w:t>Data on educational level, comorbidities, and lifestyle characteristics are represen</w:t>
      </w:r>
      <w:r w:rsidR="006B22B2">
        <w:rPr>
          <w:bCs/>
          <w:lang w:val="en-GB"/>
        </w:rPr>
        <w:t xml:space="preserve">ted in Table </w:t>
      </w:r>
      <w:r w:rsidR="00A44497">
        <w:rPr>
          <w:bCs/>
          <w:lang w:val="en-GB"/>
        </w:rPr>
        <w:t>4</w:t>
      </w:r>
      <w:r w:rsidRPr="00CE715D">
        <w:rPr>
          <w:bCs/>
          <w:lang w:val="en-GB"/>
        </w:rPr>
        <w:t>.</w:t>
      </w:r>
      <w:r w:rsidR="004514E6" w:rsidRPr="00CE715D">
        <w:rPr>
          <w:bCs/>
          <w:lang w:val="en-GB"/>
        </w:rPr>
        <w:t xml:space="preserve"> </w:t>
      </w:r>
    </w:p>
    <w:p w14:paraId="24B1533B" w14:textId="4D344C4C" w:rsidR="007A063A" w:rsidRDefault="007A063A" w:rsidP="00554FEA">
      <w:pPr>
        <w:spacing w:after="0"/>
        <w:jc w:val="both"/>
        <w:rPr>
          <w:bCs/>
          <w:lang w:val="en-GB"/>
        </w:rPr>
      </w:pPr>
      <w:r w:rsidRPr="00CE715D">
        <w:rPr>
          <w:bCs/>
          <w:lang w:val="en-GB"/>
        </w:rPr>
        <w:t>Mean age at start of L and L+T</w:t>
      </w:r>
      <w:r w:rsidR="0096311D">
        <w:rPr>
          <w:bCs/>
          <w:lang w:val="en-GB"/>
        </w:rPr>
        <w:t>E</w:t>
      </w:r>
      <w:r w:rsidRPr="00CE715D">
        <w:rPr>
          <w:bCs/>
          <w:lang w:val="en-GB"/>
        </w:rPr>
        <w:t xml:space="preserve"> was 15 years 10 months, and 17 years 5 months, respectively. Mean treatment duration for L was 12</w:t>
      </w:r>
      <w:r w:rsidR="00CA6C11">
        <w:rPr>
          <w:bCs/>
          <w:lang w:val="en-GB"/>
        </w:rPr>
        <w:t>,</w:t>
      </w:r>
      <w:r w:rsidRPr="00CE715D">
        <w:rPr>
          <w:bCs/>
          <w:lang w:val="en-GB"/>
        </w:rPr>
        <w:t>6 months and for L+T</w:t>
      </w:r>
      <w:r w:rsidR="0096311D">
        <w:rPr>
          <w:bCs/>
          <w:lang w:val="en-GB"/>
        </w:rPr>
        <w:t>E</w:t>
      </w:r>
      <w:r w:rsidR="00CA6C11">
        <w:rPr>
          <w:bCs/>
          <w:lang w:val="en-GB"/>
        </w:rPr>
        <w:t xml:space="preserve"> 11,</w:t>
      </w:r>
      <w:r w:rsidRPr="00CE715D">
        <w:rPr>
          <w:bCs/>
          <w:lang w:val="en-GB"/>
        </w:rPr>
        <w:t>4 months. No patients stopped treatment because they no longer wished to pursue gender reassignment.</w:t>
      </w:r>
      <w:r w:rsidR="00610E84">
        <w:rPr>
          <w:bCs/>
          <w:lang w:val="en-GB"/>
        </w:rPr>
        <w:t xml:space="preserve"> Seven adolescents reported to have </w:t>
      </w:r>
      <w:r w:rsidR="002D5BB7">
        <w:rPr>
          <w:bCs/>
          <w:lang w:val="en-GB"/>
        </w:rPr>
        <w:t xml:space="preserve">a vulnerable </w:t>
      </w:r>
      <w:r w:rsidR="00610E84">
        <w:rPr>
          <w:bCs/>
          <w:lang w:val="en-GB"/>
        </w:rPr>
        <w:t xml:space="preserve">social </w:t>
      </w:r>
      <w:r w:rsidR="002D5BB7">
        <w:rPr>
          <w:bCs/>
          <w:lang w:val="en-GB"/>
        </w:rPr>
        <w:t>situation</w:t>
      </w:r>
      <w:r w:rsidR="00610E84">
        <w:rPr>
          <w:bCs/>
          <w:lang w:val="en-GB"/>
        </w:rPr>
        <w:t xml:space="preserve">, most were raised in a single-parent family. Eleven had a psychiatric comorbidity: </w:t>
      </w:r>
      <w:r w:rsidR="00C25C7E">
        <w:rPr>
          <w:bCs/>
          <w:lang w:val="en-GB"/>
        </w:rPr>
        <w:t xml:space="preserve">autism or </w:t>
      </w:r>
      <w:r w:rsidR="00C87241">
        <w:rPr>
          <w:bCs/>
          <w:lang w:val="en-GB"/>
        </w:rPr>
        <w:t>autism spectrum disorder (</w:t>
      </w:r>
      <w:r w:rsidR="00C25C7E">
        <w:rPr>
          <w:bCs/>
          <w:lang w:val="en-GB"/>
        </w:rPr>
        <w:t>AS</w:t>
      </w:r>
      <w:r w:rsidR="00C87241">
        <w:rPr>
          <w:bCs/>
          <w:lang w:val="en-GB"/>
        </w:rPr>
        <w:t>D) was documented in three adolescents</w:t>
      </w:r>
      <w:r w:rsidR="00C25C7E">
        <w:rPr>
          <w:bCs/>
          <w:lang w:val="en-GB"/>
        </w:rPr>
        <w:t xml:space="preserve">, </w:t>
      </w:r>
      <w:r w:rsidR="00C87241">
        <w:rPr>
          <w:bCs/>
          <w:lang w:val="en-GB"/>
        </w:rPr>
        <w:t>attention deficit hyperactivity disorder (</w:t>
      </w:r>
      <w:r w:rsidR="00C25C7E">
        <w:rPr>
          <w:bCs/>
          <w:lang w:val="en-GB"/>
        </w:rPr>
        <w:t>ADHD</w:t>
      </w:r>
      <w:r w:rsidR="00C87241">
        <w:rPr>
          <w:bCs/>
          <w:lang w:val="en-GB"/>
        </w:rPr>
        <w:t>) in three</w:t>
      </w:r>
      <w:r w:rsidR="00C25C7E">
        <w:rPr>
          <w:bCs/>
          <w:lang w:val="en-GB"/>
        </w:rPr>
        <w:t>, depression(s)</w:t>
      </w:r>
      <w:r w:rsidR="00C87241">
        <w:rPr>
          <w:bCs/>
          <w:lang w:val="en-GB"/>
        </w:rPr>
        <w:t xml:space="preserve"> in two,</w:t>
      </w:r>
      <w:r w:rsidR="00C25C7E">
        <w:rPr>
          <w:bCs/>
          <w:lang w:val="en-GB"/>
        </w:rPr>
        <w:t xml:space="preserve"> </w:t>
      </w:r>
      <w:r w:rsidR="00BF1B93">
        <w:rPr>
          <w:bCs/>
          <w:lang w:val="en-GB"/>
        </w:rPr>
        <w:t xml:space="preserve">automutilation in </w:t>
      </w:r>
      <w:r w:rsidR="00C25C7E">
        <w:rPr>
          <w:bCs/>
          <w:lang w:val="en-GB"/>
        </w:rPr>
        <w:t xml:space="preserve">two </w:t>
      </w:r>
      <w:r w:rsidR="00C60CEF">
        <w:rPr>
          <w:bCs/>
          <w:lang w:val="en-GB"/>
        </w:rPr>
        <w:t>and conduct</w:t>
      </w:r>
      <w:r w:rsidR="00C25C7E">
        <w:rPr>
          <w:bCs/>
          <w:lang w:val="en-GB"/>
        </w:rPr>
        <w:t xml:space="preserve"> disorder</w:t>
      </w:r>
      <w:r w:rsidR="00C60CEF">
        <w:rPr>
          <w:bCs/>
          <w:lang w:val="en-GB"/>
        </w:rPr>
        <w:t xml:space="preserve"> was documented in one adolescent</w:t>
      </w:r>
      <w:r w:rsidR="00C25C7E">
        <w:rPr>
          <w:bCs/>
          <w:lang w:val="en-GB"/>
        </w:rPr>
        <w:t>.</w:t>
      </w:r>
    </w:p>
    <w:p w14:paraId="4B958297" w14:textId="77777777" w:rsidR="007A063A" w:rsidRPr="00CE715D" w:rsidRDefault="007A063A" w:rsidP="00C942CA">
      <w:pPr>
        <w:pStyle w:val="Kop3"/>
        <w:rPr>
          <w:lang w:val="en-GB"/>
        </w:rPr>
      </w:pPr>
      <w:bookmarkStart w:id="40" w:name="_Toc451961496"/>
      <w:r w:rsidRPr="00CE715D">
        <w:rPr>
          <w:lang w:val="en-GB"/>
        </w:rPr>
        <w:t>Side effects</w:t>
      </w:r>
      <w:bookmarkEnd w:id="40"/>
    </w:p>
    <w:p w14:paraId="74D407B1" w14:textId="69187A75" w:rsidR="00CE715D" w:rsidRDefault="007A063A" w:rsidP="00610E84">
      <w:pPr>
        <w:spacing w:after="0"/>
        <w:jc w:val="both"/>
        <w:rPr>
          <w:bCs/>
          <w:lang w:val="en-GB"/>
        </w:rPr>
      </w:pPr>
      <w:r w:rsidRPr="00CE715D">
        <w:rPr>
          <w:bCs/>
          <w:lang w:val="en-GB"/>
        </w:rPr>
        <w:t>Reported side effect</w:t>
      </w:r>
      <w:r w:rsidR="00A52662">
        <w:rPr>
          <w:bCs/>
          <w:lang w:val="en-GB"/>
        </w:rPr>
        <w:t>s</w:t>
      </w:r>
      <w:r w:rsidRPr="00CE715D">
        <w:rPr>
          <w:bCs/>
          <w:lang w:val="en-GB"/>
        </w:rPr>
        <w:t xml:space="preserve"> </w:t>
      </w:r>
      <w:r w:rsidR="00A52662">
        <w:rPr>
          <w:bCs/>
          <w:lang w:val="en-GB"/>
        </w:rPr>
        <w:t>are</w:t>
      </w:r>
      <w:r w:rsidR="00A52662" w:rsidRPr="00CE715D">
        <w:rPr>
          <w:bCs/>
          <w:lang w:val="en-GB"/>
        </w:rPr>
        <w:t xml:space="preserve"> </w:t>
      </w:r>
      <w:r w:rsidRPr="00CE715D">
        <w:rPr>
          <w:bCs/>
          <w:lang w:val="en-GB"/>
        </w:rPr>
        <w:t xml:space="preserve">shown in Table </w:t>
      </w:r>
      <w:r w:rsidR="00A44497">
        <w:rPr>
          <w:bCs/>
          <w:lang w:val="en-GB"/>
        </w:rPr>
        <w:t>4</w:t>
      </w:r>
      <w:r w:rsidRPr="00CE715D">
        <w:rPr>
          <w:bCs/>
          <w:lang w:val="en-GB"/>
        </w:rPr>
        <w:t>. Headaches and hot flushes were reported during L monotherapy,</w:t>
      </w:r>
      <w:r w:rsidR="00CE715D">
        <w:rPr>
          <w:bCs/>
          <w:lang w:val="en-GB"/>
        </w:rPr>
        <w:t xml:space="preserve"> </w:t>
      </w:r>
      <w:r w:rsidRPr="00CE715D">
        <w:rPr>
          <w:bCs/>
          <w:lang w:val="en-GB"/>
        </w:rPr>
        <w:t xml:space="preserve">fatigue was a </w:t>
      </w:r>
      <w:r w:rsidR="006B22B2">
        <w:rPr>
          <w:bCs/>
          <w:lang w:val="en-GB"/>
        </w:rPr>
        <w:t>complaint during both L and L+</w:t>
      </w:r>
      <w:r w:rsidRPr="00CE715D">
        <w:rPr>
          <w:bCs/>
          <w:lang w:val="en-GB"/>
        </w:rPr>
        <w:t>T</w:t>
      </w:r>
      <w:r w:rsidR="006B22B2" w:rsidRPr="006B22B2">
        <w:rPr>
          <w:bCs/>
          <w:lang w:val="en-US"/>
        </w:rPr>
        <w:t>E</w:t>
      </w:r>
      <w:r w:rsidRPr="00CE715D">
        <w:rPr>
          <w:bCs/>
          <w:lang w:val="en-GB"/>
        </w:rPr>
        <w:t>. One of the four patients with hot flushes stopped</w:t>
      </w:r>
      <w:r w:rsidR="00CE715D">
        <w:rPr>
          <w:bCs/>
          <w:lang w:val="en-GB"/>
        </w:rPr>
        <w:t xml:space="preserve"> </w:t>
      </w:r>
      <w:r w:rsidRPr="00CE715D">
        <w:rPr>
          <w:bCs/>
          <w:lang w:val="en-GB"/>
        </w:rPr>
        <w:t>treatment because of this side effect. During L, there was a non-sign</w:t>
      </w:r>
      <w:r w:rsidR="00F71DF0">
        <w:rPr>
          <w:bCs/>
          <w:lang w:val="en-GB"/>
        </w:rPr>
        <w:t>ificant increase in acne (P = 0,</w:t>
      </w:r>
      <w:r w:rsidRPr="00CE715D">
        <w:rPr>
          <w:bCs/>
          <w:lang w:val="en-GB"/>
        </w:rPr>
        <w:t xml:space="preserve">125); however, the prevalence of acne significantly increased in the first </w:t>
      </w:r>
      <w:r w:rsidR="005A4C19">
        <w:rPr>
          <w:bCs/>
          <w:lang w:val="en-GB"/>
        </w:rPr>
        <w:t>six</w:t>
      </w:r>
      <w:r w:rsidRPr="00CE715D">
        <w:rPr>
          <w:bCs/>
          <w:lang w:val="en-GB"/>
        </w:rPr>
        <w:t xml:space="preserve"> months of L+T</w:t>
      </w:r>
      <w:r w:rsidR="0096311D">
        <w:rPr>
          <w:bCs/>
          <w:lang w:val="en-GB"/>
        </w:rPr>
        <w:t>E</w:t>
      </w:r>
      <w:r w:rsidR="00F71DF0">
        <w:rPr>
          <w:bCs/>
          <w:lang w:val="en-GB"/>
        </w:rPr>
        <w:t xml:space="preserve"> (P = 0,</w:t>
      </w:r>
      <w:r w:rsidRPr="00CE715D">
        <w:rPr>
          <w:bCs/>
          <w:lang w:val="en-GB"/>
        </w:rPr>
        <w:t>021), requiring treatment with oral</w:t>
      </w:r>
      <w:r w:rsidR="005A4C19">
        <w:rPr>
          <w:bCs/>
          <w:lang w:val="en-GB"/>
        </w:rPr>
        <w:t xml:space="preserve"> retinoic acid in three out of thirteen</w:t>
      </w:r>
      <w:r w:rsidRPr="00CE715D">
        <w:rPr>
          <w:bCs/>
          <w:lang w:val="en-GB"/>
        </w:rPr>
        <w:t xml:space="preserve"> individuals. Metrorrhagia was mainly reported in the first </w:t>
      </w:r>
      <w:r w:rsidR="005A4C19">
        <w:rPr>
          <w:bCs/>
          <w:lang w:val="en-GB"/>
        </w:rPr>
        <w:t>six</w:t>
      </w:r>
      <w:r w:rsidRPr="00CE715D">
        <w:rPr>
          <w:bCs/>
          <w:lang w:val="en-GB"/>
        </w:rPr>
        <w:t xml:space="preserve"> months of L but significantly </w:t>
      </w:r>
      <w:r w:rsidR="00A52662">
        <w:rPr>
          <w:bCs/>
          <w:lang w:val="en-GB"/>
        </w:rPr>
        <w:t>decreased</w:t>
      </w:r>
      <w:r w:rsidR="00A52662" w:rsidRPr="00CE715D">
        <w:rPr>
          <w:bCs/>
          <w:lang w:val="en-GB"/>
        </w:rPr>
        <w:t xml:space="preserve"> </w:t>
      </w:r>
      <w:r w:rsidRPr="00CE715D">
        <w:rPr>
          <w:bCs/>
          <w:lang w:val="en-GB"/>
        </w:rPr>
        <w:t xml:space="preserve">in the next </w:t>
      </w:r>
      <w:r w:rsidR="005A4C19">
        <w:rPr>
          <w:bCs/>
          <w:lang w:val="en-GB"/>
        </w:rPr>
        <w:t>six</w:t>
      </w:r>
      <w:r w:rsidRPr="00CE715D">
        <w:rPr>
          <w:bCs/>
          <w:lang w:val="en-GB"/>
        </w:rPr>
        <w:t xml:space="preserve"> months (P =0</w:t>
      </w:r>
      <w:r w:rsidR="00F71DF0">
        <w:rPr>
          <w:bCs/>
          <w:lang w:val="en-GB"/>
        </w:rPr>
        <w:t>,</w:t>
      </w:r>
      <w:r w:rsidRPr="00CE715D">
        <w:rPr>
          <w:bCs/>
          <w:lang w:val="en-GB"/>
        </w:rPr>
        <w:t>004). During L+T</w:t>
      </w:r>
      <w:r w:rsidR="006E34C2">
        <w:rPr>
          <w:bCs/>
          <w:lang w:val="en-GB"/>
        </w:rPr>
        <w:t>E</w:t>
      </w:r>
      <w:r w:rsidRPr="00CE715D">
        <w:rPr>
          <w:bCs/>
          <w:lang w:val="en-GB"/>
        </w:rPr>
        <w:t>, the prevalence of metrorrhagia increased slightly over the course of treatment.</w:t>
      </w:r>
    </w:p>
    <w:p w14:paraId="05380C1D" w14:textId="223C6E6C" w:rsidR="00CE715D" w:rsidRPr="006E08CD" w:rsidRDefault="006B22B2" w:rsidP="00610E84">
      <w:pPr>
        <w:spacing w:before="120" w:after="0"/>
        <w:rPr>
          <w:lang w:val="en-GB"/>
        </w:rPr>
      </w:pPr>
      <w:r>
        <w:rPr>
          <w:b/>
          <w:lang w:val="en-GB"/>
        </w:rPr>
        <w:t xml:space="preserve">Table </w:t>
      </w:r>
      <w:r w:rsidR="00A44497">
        <w:rPr>
          <w:b/>
          <w:lang w:val="en-GB"/>
        </w:rPr>
        <w:t>4</w:t>
      </w:r>
      <w:r w:rsidR="00CE715D" w:rsidRPr="00CE715D">
        <w:rPr>
          <w:b/>
          <w:lang w:val="en-GB"/>
        </w:rPr>
        <w:t>.</w:t>
      </w:r>
      <w:r w:rsidR="00CE715D" w:rsidRPr="006E08CD">
        <w:rPr>
          <w:lang w:val="en-GB"/>
        </w:rPr>
        <w:t xml:space="preserve"> Summary of patient characteristics and side effects.</w:t>
      </w:r>
    </w:p>
    <w:tbl>
      <w:tblPr>
        <w:tblStyle w:val="Onopgemaaktetabel21"/>
        <w:tblW w:w="5018" w:type="pct"/>
        <w:tblLook w:val="04A0" w:firstRow="1" w:lastRow="0" w:firstColumn="1" w:lastColumn="0" w:noHBand="0" w:noVBand="1"/>
      </w:tblPr>
      <w:tblGrid>
        <w:gridCol w:w="2638"/>
        <w:gridCol w:w="1811"/>
        <w:gridCol w:w="958"/>
        <w:gridCol w:w="1402"/>
        <w:gridCol w:w="1256"/>
        <w:gridCol w:w="1256"/>
      </w:tblGrid>
      <w:tr w:rsidR="00CE715D" w:rsidRPr="004A2C2D" w14:paraId="20D53DA7" w14:textId="77777777" w:rsidTr="00C76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pct"/>
          </w:tcPr>
          <w:p w14:paraId="52355CEC" w14:textId="77777777" w:rsidR="00CE715D" w:rsidRPr="004A2C2D" w:rsidRDefault="00CE715D" w:rsidP="00742AB9">
            <w:pPr>
              <w:jc w:val="center"/>
              <w:rPr>
                <w:rFonts w:cs="Times New Roman"/>
                <w:b w:val="0"/>
                <w:sz w:val="20"/>
                <w:szCs w:val="20"/>
                <w:lang w:val="en-GB"/>
              </w:rPr>
            </w:pPr>
            <w:r w:rsidRPr="004A2C2D">
              <w:rPr>
                <w:rFonts w:cs="Times New Roman"/>
                <w:b w:val="0"/>
                <w:sz w:val="20"/>
                <w:szCs w:val="20"/>
                <w:lang w:val="en-GB"/>
              </w:rPr>
              <w:t>Comorbidity</w:t>
            </w:r>
          </w:p>
        </w:tc>
        <w:tc>
          <w:tcPr>
            <w:tcW w:w="982" w:type="pct"/>
          </w:tcPr>
          <w:p w14:paraId="643A9FE6" w14:textId="77777777" w:rsidR="00CE715D" w:rsidRPr="004A2C2D" w:rsidRDefault="00CE715D" w:rsidP="00742AB9">
            <w:pPr>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lang w:val="en-GB"/>
              </w:rPr>
            </w:pPr>
            <w:r w:rsidRPr="004A2C2D">
              <w:rPr>
                <w:rFonts w:cs="Times New Roman"/>
                <w:b w:val="0"/>
                <w:sz w:val="20"/>
                <w:szCs w:val="20"/>
                <w:lang w:val="en-GB"/>
              </w:rPr>
              <w:t>Education</w:t>
            </w:r>
          </w:p>
        </w:tc>
        <w:tc>
          <w:tcPr>
            <w:tcW w:w="2592" w:type="pct"/>
            <w:gridSpan w:val="4"/>
          </w:tcPr>
          <w:p w14:paraId="38153669" w14:textId="77777777" w:rsidR="00CE715D" w:rsidRPr="004A2C2D" w:rsidRDefault="00CE715D" w:rsidP="00742AB9">
            <w:pPr>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lang w:val="en-GB"/>
              </w:rPr>
            </w:pPr>
            <w:r w:rsidRPr="004A2C2D">
              <w:rPr>
                <w:rFonts w:cs="Times New Roman"/>
                <w:b w:val="0"/>
                <w:sz w:val="20"/>
                <w:szCs w:val="20"/>
                <w:lang w:val="en-GB"/>
              </w:rPr>
              <w:t>Side effects</w:t>
            </w:r>
          </w:p>
        </w:tc>
      </w:tr>
      <w:tr w:rsidR="00CE715D" w:rsidRPr="00614735" w14:paraId="3921819A" w14:textId="77777777" w:rsidTr="00C76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pct"/>
            <w:vMerge w:val="restart"/>
          </w:tcPr>
          <w:p w14:paraId="2FAAEB89" w14:textId="77777777" w:rsidR="00CE715D" w:rsidRPr="00614735" w:rsidRDefault="00CE715D" w:rsidP="00742AB9">
            <w:pPr>
              <w:rPr>
                <w:rFonts w:cs="Times New Roman"/>
                <w:sz w:val="20"/>
                <w:szCs w:val="20"/>
                <w:lang w:val="en-GB"/>
              </w:rPr>
            </w:pPr>
            <w:r w:rsidRPr="00614735">
              <w:rPr>
                <w:rFonts w:cs="Times New Roman"/>
                <w:sz w:val="20"/>
                <w:szCs w:val="20"/>
                <w:lang w:val="en-GB"/>
              </w:rPr>
              <w:t>Psychiatric: 11/43 (25.6%)</w:t>
            </w:r>
          </w:p>
          <w:p w14:paraId="4B1AC5A1" w14:textId="178EAD1E" w:rsidR="00CE715D" w:rsidRPr="00614735" w:rsidRDefault="00CE715D" w:rsidP="00742AB9">
            <w:pPr>
              <w:rPr>
                <w:rFonts w:cs="Times New Roman"/>
                <w:sz w:val="20"/>
                <w:szCs w:val="20"/>
                <w:lang w:val="en-GB"/>
              </w:rPr>
            </w:pPr>
            <w:r w:rsidRPr="00614735">
              <w:rPr>
                <w:rFonts w:cs="Times New Roman"/>
                <w:sz w:val="20"/>
                <w:szCs w:val="20"/>
                <w:lang w:val="en-GB"/>
              </w:rPr>
              <w:t>Social: 7/43</w:t>
            </w:r>
            <w:r w:rsidR="00A5127C">
              <w:rPr>
                <w:rFonts w:cs="Times New Roman"/>
                <w:sz w:val="20"/>
                <w:szCs w:val="20"/>
                <w:lang w:val="en-GB"/>
              </w:rPr>
              <w:t xml:space="preserve"> </w:t>
            </w:r>
            <w:r w:rsidRPr="00614735">
              <w:rPr>
                <w:rFonts w:cs="Times New Roman"/>
                <w:sz w:val="20"/>
                <w:szCs w:val="20"/>
                <w:lang w:val="en-GB"/>
              </w:rPr>
              <w:t>(16,3%)</w:t>
            </w:r>
          </w:p>
          <w:p w14:paraId="5D1C89AD" w14:textId="77777777" w:rsidR="00CE715D" w:rsidRPr="00614735" w:rsidRDefault="00CE715D" w:rsidP="00742AB9">
            <w:pPr>
              <w:rPr>
                <w:rFonts w:cs="Times New Roman"/>
                <w:sz w:val="20"/>
                <w:szCs w:val="20"/>
                <w:lang w:val="en-GB"/>
              </w:rPr>
            </w:pPr>
            <w:r w:rsidRPr="00614735">
              <w:rPr>
                <w:rFonts w:cs="Times New Roman"/>
                <w:sz w:val="20"/>
                <w:szCs w:val="20"/>
                <w:lang w:val="en-GB"/>
              </w:rPr>
              <w:t>DSD: 0/43 (0%)</w:t>
            </w:r>
          </w:p>
        </w:tc>
        <w:tc>
          <w:tcPr>
            <w:tcW w:w="982" w:type="pct"/>
            <w:vMerge w:val="restart"/>
          </w:tcPr>
          <w:p w14:paraId="2ADAAA09" w14:textId="77777777" w:rsidR="00CE715D" w:rsidRPr="00614735" w:rsidRDefault="00CE715D" w:rsidP="00742AB9">
            <w:pP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614735">
              <w:rPr>
                <w:rFonts w:cs="Times New Roman"/>
                <w:sz w:val="20"/>
                <w:szCs w:val="20"/>
                <w:lang w:val="en-GB"/>
              </w:rPr>
              <w:t>ASO: 9/42 (21,4%)</w:t>
            </w:r>
          </w:p>
          <w:p w14:paraId="21B9DC3C" w14:textId="77777777" w:rsidR="00CE715D" w:rsidRPr="00614735" w:rsidRDefault="00CE715D" w:rsidP="00742AB9">
            <w:pP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614735">
              <w:rPr>
                <w:rFonts w:cs="Times New Roman"/>
                <w:sz w:val="20"/>
                <w:szCs w:val="20"/>
                <w:lang w:val="en-GB"/>
              </w:rPr>
              <w:t>TSO: 16/42 (38,1%)</w:t>
            </w:r>
          </w:p>
          <w:p w14:paraId="7242AFC7" w14:textId="77777777" w:rsidR="00CE715D" w:rsidRPr="00614735" w:rsidRDefault="00CE715D" w:rsidP="00742AB9">
            <w:pP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614735">
              <w:rPr>
                <w:rFonts w:cs="Times New Roman"/>
                <w:sz w:val="20"/>
                <w:szCs w:val="20"/>
                <w:lang w:val="en-GB"/>
              </w:rPr>
              <w:t>BSO: 11/42 (26,2%)</w:t>
            </w:r>
          </w:p>
          <w:p w14:paraId="035E5829" w14:textId="77777777" w:rsidR="00CE715D" w:rsidRPr="00614735" w:rsidRDefault="00CE715D" w:rsidP="00742AB9">
            <w:pP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614735">
              <w:rPr>
                <w:rFonts w:cs="Times New Roman"/>
                <w:sz w:val="20"/>
                <w:szCs w:val="20"/>
                <w:lang w:val="en-GB"/>
              </w:rPr>
              <w:t>BUSO: 4/42 (9,5%)</w:t>
            </w:r>
          </w:p>
          <w:p w14:paraId="5568E1E7" w14:textId="77777777" w:rsidR="00CE715D" w:rsidRPr="00614735" w:rsidRDefault="00CE715D" w:rsidP="00742AB9">
            <w:pP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614735">
              <w:rPr>
                <w:rFonts w:cs="Times New Roman"/>
                <w:sz w:val="20"/>
                <w:szCs w:val="20"/>
                <w:lang w:val="en-GB"/>
              </w:rPr>
              <w:t>KSO: 2/42 (4,8%)</w:t>
            </w:r>
          </w:p>
        </w:tc>
        <w:tc>
          <w:tcPr>
            <w:tcW w:w="462" w:type="pct"/>
          </w:tcPr>
          <w:p w14:paraId="33AF3FEC" w14:textId="77777777" w:rsidR="00CE715D" w:rsidRPr="004A2C2D" w:rsidRDefault="00CE715D" w:rsidP="00742AB9">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lang w:val="en-GB"/>
              </w:rPr>
            </w:pPr>
            <w:r w:rsidRPr="004A2C2D">
              <w:rPr>
                <w:rFonts w:cs="Times New Roman"/>
                <w:b/>
                <w:sz w:val="20"/>
                <w:szCs w:val="20"/>
                <w:lang w:val="en-GB"/>
              </w:rPr>
              <w:t>Time</w:t>
            </w:r>
          </w:p>
        </w:tc>
        <w:tc>
          <w:tcPr>
            <w:tcW w:w="762" w:type="pct"/>
          </w:tcPr>
          <w:p w14:paraId="653414E0" w14:textId="77777777" w:rsidR="00CE715D" w:rsidRPr="004A2C2D" w:rsidRDefault="00CE715D" w:rsidP="00742AB9">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lang w:val="en-GB"/>
              </w:rPr>
            </w:pPr>
            <w:r w:rsidRPr="004A2C2D">
              <w:rPr>
                <w:rFonts w:cs="Times New Roman"/>
                <w:b/>
                <w:sz w:val="20"/>
                <w:szCs w:val="20"/>
                <w:lang w:val="en-GB"/>
              </w:rPr>
              <w:t>Me</w:t>
            </w:r>
            <w:r>
              <w:rPr>
                <w:rFonts w:cs="Times New Roman"/>
                <w:b/>
                <w:sz w:val="20"/>
                <w:szCs w:val="20"/>
                <w:lang w:val="en-GB"/>
              </w:rPr>
              <w:t>tr</w:t>
            </w:r>
            <w:r w:rsidRPr="004A2C2D">
              <w:rPr>
                <w:rFonts w:cs="Times New Roman"/>
                <w:b/>
                <w:sz w:val="20"/>
                <w:szCs w:val="20"/>
                <w:lang w:val="en-GB"/>
              </w:rPr>
              <w:t>orrhagia</w:t>
            </w:r>
          </w:p>
        </w:tc>
        <w:tc>
          <w:tcPr>
            <w:tcW w:w="1368" w:type="pct"/>
            <w:gridSpan w:val="2"/>
          </w:tcPr>
          <w:p w14:paraId="1A11D4E8" w14:textId="77777777" w:rsidR="00CE715D" w:rsidRPr="004A2C2D" w:rsidRDefault="00CE715D" w:rsidP="00742AB9">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lang w:val="en-GB"/>
              </w:rPr>
            </w:pPr>
            <w:r w:rsidRPr="004A2C2D">
              <w:rPr>
                <w:rFonts w:cs="Times New Roman"/>
                <w:b/>
                <w:sz w:val="20"/>
                <w:szCs w:val="20"/>
                <w:lang w:val="en-GB"/>
              </w:rPr>
              <w:t>Acne</w:t>
            </w:r>
          </w:p>
        </w:tc>
      </w:tr>
      <w:tr w:rsidR="00CE715D" w:rsidRPr="00614735" w14:paraId="2DFEE245" w14:textId="77777777" w:rsidTr="00C7655D">
        <w:trPr>
          <w:trHeight w:val="1515"/>
        </w:trPr>
        <w:tc>
          <w:tcPr>
            <w:cnfStyle w:val="001000000000" w:firstRow="0" w:lastRow="0" w:firstColumn="1" w:lastColumn="0" w:oddVBand="0" w:evenVBand="0" w:oddHBand="0" w:evenHBand="0" w:firstRowFirstColumn="0" w:firstRowLastColumn="0" w:lastRowFirstColumn="0" w:lastRowLastColumn="0"/>
            <w:tcW w:w="1426" w:type="pct"/>
            <w:vMerge/>
          </w:tcPr>
          <w:p w14:paraId="5575C90F" w14:textId="77777777" w:rsidR="00CE715D" w:rsidRPr="00614735" w:rsidRDefault="00CE715D" w:rsidP="00742AB9">
            <w:pPr>
              <w:rPr>
                <w:rFonts w:cs="Times New Roman"/>
                <w:sz w:val="20"/>
                <w:szCs w:val="20"/>
                <w:lang w:val="en-GB"/>
              </w:rPr>
            </w:pPr>
          </w:p>
        </w:tc>
        <w:tc>
          <w:tcPr>
            <w:tcW w:w="982" w:type="pct"/>
            <w:vMerge/>
          </w:tcPr>
          <w:p w14:paraId="22AF35AB" w14:textId="77777777" w:rsidR="00CE715D" w:rsidRPr="00614735" w:rsidRDefault="00CE715D" w:rsidP="00742AB9">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p>
        </w:tc>
        <w:tc>
          <w:tcPr>
            <w:tcW w:w="462" w:type="pct"/>
          </w:tcPr>
          <w:p w14:paraId="36AAA635" w14:textId="77777777" w:rsidR="00CE715D" w:rsidRPr="00E538B5" w:rsidRDefault="00CE715D" w:rsidP="00742AB9">
            <w:pPr>
              <w:cnfStyle w:val="000000000000" w:firstRow="0" w:lastRow="0" w:firstColumn="0" w:lastColumn="0" w:oddVBand="0" w:evenVBand="0" w:oddHBand="0" w:evenHBand="0" w:firstRowFirstColumn="0" w:firstRowLastColumn="0" w:lastRowFirstColumn="0" w:lastRowLastColumn="0"/>
              <w:rPr>
                <w:rFonts w:cs="Times New Roman"/>
                <w:sz w:val="20"/>
                <w:szCs w:val="20"/>
                <w:lang w:val="fr-BE"/>
              </w:rPr>
            </w:pPr>
            <w:r w:rsidRPr="00E538B5">
              <w:rPr>
                <w:rFonts w:cs="Times New Roman"/>
                <w:sz w:val="20"/>
                <w:szCs w:val="20"/>
                <w:lang w:val="fr-BE"/>
              </w:rPr>
              <w:t>L0</w:t>
            </w:r>
          </w:p>
          <w:p w14:paraId="4BB704DD" w14:textId="77777777" w:rsidR="00CE715D" w:rsidRPr="00E538B5" w:rsidRDefault="00CE715D" w:rsidP="00742AB9">
            <w:pPr>
              <w:cnfStyle w:val="000000000000" w:firstRow="0" w:lastRow="0" w:firstColumn="0" w:lastColumn="0" w:oddVBand="0" w:evenVBand="0" w:oddHBand="0" w:evenHBand="0" w:firstRowFirstColumn="0" w:firstRowLastColumn="0" w:lastRowFirstColumn="0" w:lastRowLastColumn="0"/>
              <w:rPr>
                <w:rFonts w:cs="Times New Roman"/>
                <w:sz w:val="20"/>
                <w:szCs w:val="20"/>
                <w:lang w:val="fr-BE"/>
              </w:rPr>
            </w:pPr>
            <w:r w:rsidRPr="00E538B5">
              <w:rPr>
                <w:rFonts w:cs="Times New Roman"/>
                <w:sz w:val="20"/>
                <w:szCs w:val="20"/>
                <w:lang w:val="fr-BE"/>
              </w:rPr>
              <w:t>L6m</w:t>
            </w:r>
          </w:p>
          <w:p w14:paraId="4742624F" w14:textId="77777777" w:rsidR="00CE715D" w:rsidRPr="00E538B5" w:rsidRDefault="00CE715D" w:rsidP="00742AB9">
            <w:pPr>
              <w:cnfStyle w:val="000000000000" w:firstRow="0" w:lastRow="0" w:firstColumn="0" w:lastColumn="0" w:oddVBand="0" w:evenVBand="0" w:oddHBand="0" w:evenHBand="0" w:firstRowFirstColumn="0" w:firstRowLastColumn="0" w:lastRowFirstColumn="0" w:lastRowLastColumn="0"/>
              <w:rPr>
                <w:rFonts w:cs="Times New Roman"/>
                <w:sz w:val="20"/>
                <w:szCs w:val="20"/>
                <w:lang w:val="fr-BE"/>
              </w:rPr>
            </w:pPr>
            <w:r w:rsidRPr="00E538B5">
              <w:rPr>
                <w:rFonts w:cs="Times New Roman"/>
                <w:sz w:val="20"/>
                <w:szCs w:val="20"/>
                <w:lang w:val="fr-BE"/>
              </w:rPr>
              <w:t>L12m</w:t>
            </w:r>
          </w:p>
          <w:p w14:paraId="58C24A3D" w14:textId="16F878AF" w:rsidR="00CE715D" w:rsidRPr="00E538B5" w:rsidRDefault="00CE715D" w:rsidP="00742AB9">
            <w:pPr>
              <w:cnfStyle w:val="000000000000" w:firstRow="0" w:lastRow="0" w:firstColumn="0" w:lastColumn="0" w:oddVBand="0" w:evenVBand="0" w:oddHBand="0" w:evenHBand="0" w:firstRowFirstColumn="0" w:firstRowLastColumn="0" w:lastRowFirstColumn="0" w:lastRowLastColumn="0"/>
              <w:rPr>
                <w:rFonts w:cs="Times New Roman"/>
                <w:sz w:val="20"/>
                <w:szCs w:val="20"/>
                <w:lang w:val="fr-BE"/>
              </w:rPr>
            </w:pPr>
            <w:r w:rsidRPr="00E538B5">
              <w:rPr>
                <w:rFonts w:cs="Times New Roman"/>
                <w:sz w:val="20"/>
                <w:szCs w:val="20"/>
                <w:lang w:val="fr-BE"/>
              </w:rPr>
              <w:t>L+T</w:t>
            </w:r>
            <w:r w:rsidR="0096311D">
              <w:rPr>
                <w:rFonts w:cs="Times New Roman"/>
                <w:sz w:val="20"/>
                <w:szCs w:val="20"/>
                <w:lang w:val="fr-BE"/>
              </w:rPr>
              <w:t>E</w:t>
            </w:r>
            <w:r w:rsidRPr="00E538B5">
              <w:rPr>
                <w:rFonts w:cs="Times New Roman"/>
                <w:sz w:val="20"/>
                <w:szCs w:val="20"/>
                <w:lang w:val="fr-BE"/>
              </w:rPr>
              <w:t>0</w:t>
            </w:r>
          </w:p>
          <w:p w14:paraId="30A6E253" w14:textId="322C2A62" w:rsidR="00CE715D" w:rsidRPr="00E538B5" w:rsidRDefault="00CE715D" w:rsidP="00742AB9">
            <w:pPr>
              <w:cnfStyle w:val="000000000000" w:firstRow="0" w:lastRow="0" w:firstColumn="0" w:lastColumn="0" w:oddVBand="0" w:evenVBand="0" w:oddHBand="0" w:evenHBand="0" w:firstRowFirstColumn="0" w:firstRowLastColumn="0" w:lastRowFirstColumn="0" w:lastRowLastColumn="0"/>
              <w:rPr>
                <w:rFonts w:cs="Times New Roman"/>
                <w:sz w:val="20"/>
                <w:szCs w:val="20"/>
                <w:lang w:val="fr-BE"/>
              </w:rPr>
            </w:pPr>
            <w:r w:rsidRPr="00E538B5">
              <w:rPr>
                <w:rFonts w:cs="Times New Roman"/>
                <w:sz w:val="20"/>
                <w:szCs w:val="20"/>
                <w:lang w:val="fr-BE"/>
              </w:rPr>
              <w:t>L+T</w:t>
            </w:r>
            <w:r w:rsidR="0096311D">
              <w:rPr>
                <w:rFonts w:cs="Times New Roman"/>
                <w:sz w:val="20"/>
                <w:szCs w:val="20"/>
                <w:lang w:val="fr-BE"/>
              </w:rPr>
              <w:t>E</w:t>
            </w:r>
            <w:r w:rsidRPr="00E538B5">
              <w:rPr>
                <w:rFonts w:cs="Times New Roman"/>
                <w:sz w:val="20"/>
                <w:szCs w:val="20"/>
                <w:lang w:val="fr-BE"/>
              </w:rPr>
              <w:t>6m</w:t>
            </w:r>
          </w:p>
          <w:p w14:paraId="0D454DAB" w14:textId="3C050FC8" w:rsidR="00CE715D" w:rsidRPr="00E538B5" w:rsidRDefault="00CE715D" w:rsidP="00742AB9">
            <w:pPr>
              <w:cnfStyle w:val="000000000000" w:firstRow="0" w:lastRow="0" w:firstColumn="0" w:lastColumn="0" w:oddVBand="0" w:evenVBand="0" w:oddHBand="0" w:evenHBand="0" w:firstRowFirstColumn="0" w:firstRowLastColumn="0" w:lastRowFirstColumn="0" w:lastRowLastColumn="0"/>
              <w:rPr>
                <w:rFonts w:cs="Times New Roman"/>
                <w:sz w:val="20"/>
                <w:szCs w:val="20"/>
                <w:lang w:val="fr-BE"/>
              </w:rPr>
            </w:pPr>
            <w:r w:rsidRPr="00E538B5">
              <w:rPr>
                <w:rFonts w:cs="Times New Roman"/>
                <w:sz w:val="20"/>
                <w:szCs w:val="20"/>
                <w:lang w:val="fr-BE"/>
              </w:rPr>
              <w:t>L+T</w:t>
            </w:r>
            <w:r w:rsidR="0096311D">
              <w:rPr>
                <w:rFonts w:cs="Times New Roman"/>
                <w:sz w:val="20"/>
                <w:szCs w:val="20"/>
                <w:lang w:val="fr-BE"/>
              </w:rPr>
              <w:t>E</w:t>
            </w:r>
            <w:r w:rsidRPr="00E538B5">
              <w:rPr>
                <w:rFonts w:cs="Times New Roman"/>
                <w:sz w:val="20"/>
                <w:szCs w:val="20"/>
                <w:lang w:val="fr-BE"/>
              </w:rPr>
              <w:t>12m</w:t>
            </w:r>
          </w:p>
        </w:tc>
        <w:tc>
          <w:tcPr>
            <w:tcW w:w="762" w:type="pct"/>
          </w:tcPr>
          <w:p w14:paraId="36C13F7C" w14:textId="77777777" w:rsidR="00CE715D" w:rsidRPr="00E538B5" w:rsidRDefault="00CE715D" w:rsidP="00742AB9">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fr-BE"/>
              </w:rPr>
            </w:pPr>
            <w:r>
              <w:rPr>
                <w:rFonts w:cs="Times New Roman"/>
                <w:sz w:val="20"/>
                <w:szCs w:val="20"/>
                <w:lang w:val="fr-BE"/>
              </w:rPr>
              <w:t>-</w:t>
            </w:r>
          </w:p>
          <w:p w14:paraId="2EAD51E3" w14:textId="77777777" w:rsidR="00CE715D" w:rsidRPr="00614735" w:rsidRDefault="00CE715D" w:rsidP="00742AB9">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sidRPr="00614735">
              <w:rPr>
                <w:rFonts w:cs="Times New Roman"/>
                <w:sz w:val="20"/>
                <w:szCs w:val="20"/>
                <w:lang w:val="en-GB"/>
              </w:rPr>
              <w:t>19/39 (48,7%)</w:t>
            </w:r>
          </w:p>
          <w:p w14:paraId="4A2B4323" w14:textId="77777777" w:rsidR="00CE715D" w:rsidRPr="00614735" w:rsidRDefault="00CE715D" w:rsidP="00742AB9">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sidRPr="00614735">
              <w:rPr>
                <w:rFonts w:cs="Times New Roman"/>
                <w:sz w:val="20"/>
                <w:szCs w:val="20"/>
                <w:lang w:val="en-GB"/>
              </w:rPr>
              <w:t>5/28 (17,9%)</w:t>
            </w:r>
          </w:p>
          <w:p w14:paraId="78BB6F1A" w14:textId="77777777" w:rsidR="00CE715D" w:rsidRPr="00614735" w:rsidRDefault="00CE715D" w:rsidP="00742AB9">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sidRPr="00614735">
              <w:rPr>
                <w:rFonts w:cs="Times New Roman"/>
                <w:sz w:val="20"/>
                <w:szCs w:val="20"/>
                <w:lang w:val="en-GB"/>
              </w:rPr>
              <w:t>4/25 (16,0%)</w:t>
            </w:r>
          </w:p>
          <w:p w14:paraId="49A22D09" w14:textId="77777777" w:rsidR="00CE715D" w:rsidRPr="00614735" w:rsidRDefault="00CE715D" w:rsidP="00742AB9">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sidRPr="00614735">
              <w:rPr>
                <w:rFonts w:cs="Times New Roman"/>
                <w:sz w:val="20"/>
                <w:szCs w:val="20"/>
                <w:lang w:val="en-GB"/>
              </w:rPr>
              <w:t>5/22 (22,7%)</w:t>
            </w:r>
          </w:p>
          <w:p w14:paraId="6DA67E05" w14:textId="77777777" w:rsidR="00CE715D" w:rsidRPr="00614735" w:rsidRDefault="00CE715D" w:rsidP="00742AB9">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sidRPr="00614735">
              <w:rPr>
                <w:rFonts w:cs="Times New Roman"/>
                <w:sz w:val="20"/>
                <w:szCs w:val="20"/>
                <w:lang w:val="en-GB"/>
              </w:rPr>
              <w:t>4/16 (25,0%)</w:t>
            </w:r>
          </w:p>
        </w:tc>
        <w:tc>
          <w:tcPr>
            <w:tcW w:w="1368" w:type="pct"/>
            <w:gridSpan w:val="2"/>
          </w:tcPr>
          <w:p w14:paraId="273D7829" w14:textId="2820C3A3" w:rsidR="00CE715D" w:rsidRPr="00614735" w:rsidRDefault="00CA6C11" w:rsidP="00CA6C1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Pr>
                <w:rFonts w:cs="Times New Roman"/>
                <w:sz w:val="20"/>
                <w:szCs w:val="20"/>
                <w:lang w:val="en-GB"/>
              </w:rPr>
              <w:t xml:space="preserve">              </w:t>
            </w:r>
            <w:r w:rsidR="00CE715D" w:rsidRPr="00614735">
              <w:rPr>
                <w:rFonts w:cs="Times New Roman"/>
                <w:sz w:val="20"/>
                <w:szCs w:val="20"/>
                <w:lang w:val="en-GB"/>
              </w:rPr>
              <w:t>6/41 (14,6%)</w:t>
            </w:r>
          </w:p>
          <w:p w14:paraId="7C37778F" w14:textId="334A0974" w:rsidR="00CE715D" w:rsidRPr="00614735" w:rsidRDefault="00CA6C11" w:rsidP="00CA6C1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Pr>
                <w:rFonts w:cs="Times New Roman"/>
                <w:sz w:val="20"/>
                <w:szCs w:val="20"/>
                <w:lang w:val="en-GB"/>
              </w:rPr>
              <w:t xml:space="preserve">              </w:t>
            </w:r>
            <w:r w:rsidR="00CE715D" w:rsidRPr="00614735">
              <w:rPr>
                <w:rFonts w:cs="Times New Roman"/>
                <w:sz w:val="20"/>
                <w:szCs w:val="20"/>
                <w:lang w:val="en-GB"/>
              </w:rPr>
              <w:t>10/39 (25,6%)</w:t>
            </w:r>
          </w:p>
          <w:p w14:paraId="76F2B1C4" w14:textId="38A8C6A1" w:rsidR="00CE715D" w:rsidRPr="00614735" w:rsidRDefault="00CA6C11" w:rsidP="00CA6C1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Pr>
                <w:rFonts w:cs="Times New Roman"/>
                <w:sz w:val="20"/>
                <w:szCs w:val="20"/>
                <w:lang w:val="en-GB"/>
              </w:rPr>
              <w:t xml:space="preserve">              </w:t>
            </w:r>
            <w:r w:rsidR="00CE715D" w:rsidRPr="00614735">
              <w:rPr>
                <w:rFonts w:cs="Times New Roman"/>
                <w:sz w:val="20"/>
                <w:szCs w:val="20"/>
                <w:lang w:val="en-GB"/>
              </w:rPr>
              <w:t>8/28 (28,6%)</w:t>
            </w:r>
          </w:p>
          <w:p w14:paraId="579AA01E" w14:textId="333E6D39" w:rsidR="00CE715D" w:rsidRPr="00614735" w:rsidRDefault="00CA6C11" w:rsidP="00CA6C1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Pr>
                <w:rFonts w:cs="Times New Roman"/>
                <w:sz w:val="20"/>
                <w:szCs w:val="20"/>
                <w:lang w:val="en-GB"/>
              </w:rPr>
              <w:t xml:space="preserve">              </w:t>
            </w:r>
            <w:r w:rsidR="00CE715D" w:rsidRPr="00614735">
              <w:rPr>
                <w:rFonts w:cs="Times New Roman"/>
                <w:sz w:val="20"/>
                <w:szCs w:val="20"/>
                <w:lang w:val="en-GB"/>
              </w:rPr>
              <w:t>6/25 (24,0%)</w:t>
            </w:r>
          </w:p>
          <w:p w14:paraId="61FD78BC" w14:textId="11E8A93E" w:rsidR="00CE715D" w:rsidRPr="00614735" w:rsidRDefault="00CA6C11" w:rsidP="00CA6C1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Pr>
                <w:rFonts w:cs="Times New Roman"/>
                <w:sz w:val="20"/>
                <w:szCs w:val="20"/>
                <w:lang w:val="en-GB"/>
              </w:rPr>
              <w:t xml:space="preserve">              </w:t>
            </w:r>
            <w:r w:rsidR="00CE715D" w:rsidRPr="00614735">
              <w:rPr>
                <w:rFonts w:cs="Times New Roman"/>
                <w:sz w:val="20"/>
                <w:szCs w:val="20"/>
                <w:lang w:val="en-GB"/>
              </w:rPr>
              <w:t>13/22 (59,1%)</w:t>
            </w:r>
          </w:p>
          <w:p w14:paraId="540DBC55" w14:textId="0D246CFD" w:rsidR="00CE715D" w:rsidRPr="00614735" w:rsidRDefault="00CA6C11" w:rsidP="00CA6C11">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Pr>
                <w:rFonts w:cs="Times New Roman"/>
                <w:sz w:val="20"/>
                <w:szCs w:val="20"/>
                <w:lang w:val="en-GB"/>
              </w:rPr>
              <w:t xml:space="preserve">              </w:t>
            </w:r>
            <w:r w:rsidR="00CE715D" w:rsidRPr="00614735">
              <w:rPr>
                <w:rFonts w:cs="Times New Roman"/>
                <w:sz w:val="20"/>
                <w:szCs w:val="20"/>
                <w:lang w:val="en-GB"/>
              </w:rPr>
              <w:t>6/16 (37,5%)</w:t>
            </w:r>
          </w:p>
        </w:tc>
      </w:tr>
      <w:tr w:rsidR="00CE715D" w:rsidRPr="004A2C2D" w14:paraId="597180F6" w14:textId="77777777" w:rsidTr="00C76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pct"/>
          </w:tcPr>
          <w:p w14:paraId="263B3F4B" w14:textId="77777777" w:rsidR="00CE715D" w:rsidRPr="004A2C2D" w:rsidRDefault="00CE715D" w:rsidP="00742AB9">
            <w:pPr>
              <w:jc w:val="center"/>
              <w:rPr>
                <w:rFonts w:cs="Times New Roman"/>
                <w:b w:val="0"/>
                <w:sz w:val="20"/>
                <w:szCs w:val="20"/>
                <w:lang w:val="en-GB"/>
              </w:rPr>
            </w:pPr>
            <w:r w:rsidRPr="004A2C2D">
              <w:rPr>
                <w:rFonts w:cs="Times New Roman"/>
                <w:b w:val="0"/>
                <w:sz w:val="20"/>
                <w:szCs w:val="20"/>
                <w:lang w:val="en-GB"/>
              </w:rPr>
              <w:t>Smoking</w:t>
            </w:r>
          </w:p>
        </w:tc>
        <w:tc>
          <w:tcPr>
            <w:tcW w:w="982" w:type="pct"/>
          </w:tcPr>
          <w:p w14:paraId="49F7EC00" w14:textId="77777777" w:rsidR="00CE715D" w:rsidRPr="004A2C2D" w:rsidRDefault="00CE715D" w:rsidP="00742AB9">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lang w:val="en-GB"/>
              </w:rPr>
            </w:pPr>
            <w:r w:rsidRPr="004A2C2D">
              <w:rPr>
                <w:rFonts w:cs="Times New Roman"/>
                <w:b/>
                <w:sz w:val="20"/>
                <w:szCs w:val="20"/>
                <w:lang w:val="en-GB"/>
              </w:rPr>
              <w:t>Alcohol</w:t>
            </w:r>
          </w:p>
        </w:tc>
        <w:tc>
          <w:tcPr>
            <w:tcW w:w="462" w:type="pct"/>
          </w:tcPr>
          <w:p w14:paraId="472587FA" w14:textId="77777777" w:rsidR="00CE715D" w:rsidRPr="004A2C2D" w:rsidRDefault="00CE715D" w:rsidP="00742AB9">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lang w:val="en-GB"/>
              </w:rPr>
            </w:pPr>
            <w:r>
              <w:rPr>
                <w:rFonts w:cs="Times New Roman"/>
                <w:b/>
                <w:sz w:val="20"/>
                <w:szCs w:val="20"/>
                <w:lang w:val="en-GB"/>
              </w:rPr>
              <w:t>Time</w:t>
            </w:r>
          </w:p>
        </w:tc>
        <w:tc>
          <w:tcPr>
            <w:tcW w:w="762" w:type="pct"/>
          </w:tcPr>
          <w:p w14:paraId="05DE62B5" w14:textId="77777777" w:rsidR="00CE715D" w:rsidRPr="004A2C2D" w:rsidRDefault="00CE715D" w:rsidP="00742AB9">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lang w:val="en-GB"/>
              </w:rPr>
            </w:pPr>
            <w:r w:rsidRPr="004A2C2D">
              <w:rPr>
                <w:rFonts w:cs="Times New Roman"/>
                <w:b/>
                <w:sz w:val="20"/>
                <w:szCs w:val="20"/>
                <w:lang w:val="en-GB"/>
              </w:rPr>
              <w:t>Headache</w:t>
            </w:r>
          </w:p>
        </w:tc>
        <w:tc>
          <w:tcPr>
            <w:tcW w:w="684" w:type="pct"/>
          </w:tcPr>
          <w:p w14:paraId="3F7D67E9" w14:textId="77777777" w:rsidR="00CE715D" w:rsidRPr="004A2C2D" w:rsidRDefault="00CE715D" w:rsidP="00742AB9">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lang w:val="en-GB"/>
              </w:rPr>
            </w:pPr>
            <w:r w:rsidRPr="004A2C2D">
              <w:rPr>
                <w:rFonts w:cs="Times New Roman"/>
                <w:b/>
                <w:sz w:val="20"/>
                <w:szCs w:val="20"/>
                <w:lang w:val="en-GB"/>
              </w:rPr>
              <w:t>Hot flushes</w:t>
            </w:r>
          </w:p>
        </w:tc>
        <w:tc>
          <w:tcPr>
            <w:tcW w:w="684" w:type="pct"/>
          </w:tcPr>
          <w:p w14:paraId="49082B4A" w14:textId="77777777" w:rsidR="00CE715D" w:rsidRPr="004A2C2D" w:rsidRDefault="00CE715D" w:rsidP="00742AB9">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lang w:val="en-GB"/>
              </w:rPr>
            </w:pPr>
            <w:r w:rsidRPr="004A2C2D">
              <w:rPr>
                <w:rFonts w:cs="Times New Roman"/>
                <w:b/>
                <w:sz w:val="20"/>
                <w:szCs w:val="20"/>
                <w:lang w:val="en-GB"/>
              </w:rPr>
              <w:t>fatigue</w:t>
            </w:r>
          </w:p>
        </w:tc>
      </w:tr>
      <w:tr w:rsidR="00CE715D" w:rsidRPr="00614735" w14:paraId="01BE39F5" w14:textId="77777777" w:rsidTr="00C7655D">
        <w:trPr>
          <w:trHeight w:val="787"/>
        </w:trPr>
        <w:tc>
          <w:tcPr>
            <w:cnfStyle w:val="001000000000" w:firstRow="0" w:lastRow="0" w:firstColumn="1" w:lastColumn="0" w:oddVBand="0" w:evenVBand="0" w:oddHBand="0" w:evenHBand="0" w:firstRowFirstColumn="0" w:firstRowLastColumn="0" w:lastRowFirstColumn="0" w:lastRowLastColumn="0"/>
            <w:tcW w:w="1426" w:type="pct"/>
          </w:tcPr>
          <w:p w14:paraId="726D375A" w14:textId="77777777" w:rsidR="00CE715D" w:rsidRPr="00614735" w:rsidRDefault="00CE715D" w:rsidP="00742AB9">
            <w:pPr>
              <w:rPr>
                <w:rFonts w:cs="Times New Roman"/>
                <w:sz w:val="20"/>
                <w:szCs w:val="20"/>
                <w:lang w:val="en-GB"/>
              </w:rPr>
            </w:pPr>
            <w:r w:rsidRPr="00614735">
              <w:rPr>
                <w:rFonts w:cs="Times New Roman"/>
                <w:sz w:val="20"/>
                <w:szCs w:val="20"/>
                <w:lang w:val="en-GB"/>
              </w:rPr>
              <w:t>No: 34/43 (79,1%)</w:t>
            </w:r>
          </w:p>
          <w:p w14:paraId="62F17DAA" w14:textId="77777777" w:rsidR="00CE715D" w:rsidRPr="00614735" w:rsidRDefault="00CE715D" w:rsidP="00742AB9">
            <w:pPr>
              <w:rPr>
                <w:rFonts w:cs="Times New Roman"/>
                <w:sz w:val="20"/>
                <w:szCs w:val="20"/>
                <w:lang w:val="en-GB"/>
              </w:rPr>
            </w:pPr>
            <w:r>
              <w:rPr>
                <w:rFonts w:cs="Times New Roman"/>
                <w:sz w:val="20"/>
                <w:szCs w:val="20"/>
                <w:lang w:val="en-GB"/>
              </w:rPr>
              <w:t>M</w:t>
            </w:r>
            <w:r w:rsidRPr="00614735">
              <w:rPr>
                <w:rFonts w:cs="Times New Roman"/>
                <w:sz w:val="20"/>
                <w:szCs w:val="20"/>
                <w:lang w:val="en-GB"/>
              </w:rPr>
              <w:t>oderate: 9/43 (20,9%)</w:t>
            </w:r>
          </w:p>
          <w:p w14:paraId="656EDA44" w14:textId="77777777" w:rsidR="00CE715D" w:rsidRPr="00614735" w:rsidRDefault="00CE715D" w:rsidP="00742AB9">
            <w:pPr>
              <w:rPr>
                <w:rFonts w:cs="Times New Roman"/>
                <w:sz w:val="20"/>
                <w:szCs w:val="20"/>
                <w:lang w:val="en-GB"/>
              </w:rPr>
            </w:pPr>
            <w:r w:rsidRPr="00614735">
              <w:rPr>
                <w:rFonts w:cs="Times New Roman"/>
                <w:sz w:val="20"/>
                <w:szCs w:val="20"/>
                <w:lang w:val="en-GB"/>
              </w:rPr>
              <w:t>High: 0/43 (0%)</w:t>
            </w:r>
          </w:p>
        </w:tc>
        <w:tc>
          <w:tcPr>
            <w:tcW w:w="982" w:type="pct"/>
          </w:tcPr>
          <w:p w14:paraId="68B8580A" w14:textId="77777777" w:rsidR="00CE715D" w:rsidRPr="00614735" w:rsidRDefault="00CE715D" w:rsidP="00742AB9">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sidRPr="00614735">
              <w:rPr>
                <w:rFonts w:cs="Times New Roman"/>
                <w:sz w:val="20"/>
                <w:szCs w:val="20"/>
                <w:lang w:val="en-GB"/>
              </w:rPr>
              <w:t>No: 24/43 (55,8%)</w:t>
            </w:r>
          </w:p>
          <w:p w14:paraId="031662B6" w14:textId="77777777" w:rsidR="00CE715D" w:rsidRPr="00614735" w:rsidRDefault="00CE715D" w:rsidP="00742AB9">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sidRPr="00614735">
              <w:rPr>
                <w:rFonts w:cs="Times New Roman"/>
                <w:sz w:val="20"/>
                <w:szCs w:val="20"/>
                <w:lang w:val="en-GB"/>
              </w:rPr>
              <w:t xml:space="preserve">Yes: 19/43 (44.2%) </w:t>
            </w:r>
          </w:p>
          <w:p w14:paraId="0CD582E3" w14:textId="77777777" w:rsidR="00CE715D" w:rsidRPr="00614735" w:rsidRDefault="00CE715D" w:rsidP="00742AB9">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p>
        </w:tc>
        <w:tc>
          <w:tcPr>
            <w:tcW w:w="462" w:type="pct"/>
          </w:tcPr>
          <w:p w14:paraId="760AFCBB" w14:textId="77777777" w:rsidR="00CE715D" w:rsidRPr="00614735" w:rsidRDefault="00CE715D" w:rsidP="00742AB9">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sidRPr="00614735">
              <w:rPr>
                <w:rFonts w:cs="Times New Roman"/>
                <w:sz w:val="20"/>
                <w:szCs w:val="20"/>
                <w:lang w:val="en-GB"/>
              </w:rPr>
              <w:t>L</w:t>
            </w:r>
          </w:p>
          <w:p w14:paraId="1E8E8098" w14:textId="70F44C4D" w:rsidR="00CE715D" w:rsidRPr="00614735" w:rsidRDefault="00CE715D" w:rsidP="00742AB9">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sidRPr="00614735">
              <w:rPr>
                <w:rFonts w:cs="Times New Roman"/>
                <w:sz w:val="20"/>
                <w:szCs w:val="20"/>
                <w:lang w:val="en-GB"/>
              </w:rPr>
              <w:t>L</w:t>
            </w:r>
            <w:r w:rsidR="0096311D">
              <w:rPr>
                <w:rFonts w:cs="Times New Roman"/>
                <w:sz w:val="20"/>
                <w:szCs w:val="20"/>
                <w:lang w:val="en-GB"/>
              </w:rPr>
              <w:t>+</w:t>
            </w:r>
            <w:r w:rsidRPr="00614735">
              <w:rPr>
                <w:rFonts w:cs="Times New Roman"/>
                <w:sz w:val="20"/>
                <w:szCs w:val="20"/>
                <w:lang w:val="en-GB"/>
              </w:rPr>
              <w:t>T</w:t>
            </w:r>
            <w:r w:rsidR="0096311D">
              <w:rPr>
                <w:rFonts w:cs="Times New Roman"/>
                <w:sz w:val="20"/>
                <w:szCs w:val="20"/>
                <w:lang w:val="en-GB"/>
              </w:rPr>
              <w:t>E</w:t>
            </w:r>
          </w:p>
        </w:tc>
        <w:tc>
          <w:tcPr>
            <w:tcW w:w="762" w:type="pct"/>
          </w:tcPr>
          <w:p w14:paraId="5BE81CB6" w14:textId="77777777" w:rsidR="00CE715D" w:rsidRPr="00614735" w:rsidRDefault="00CE715D" w:rsidP="00742AB9">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sidRPr="00614735">
              <w:rPr>
                <w:rFonts w:cs="Times New Roman"/>
                <w:sz w:val="20"/>
                <w:szCs w:val="20"/>
                <w:lang w:val="en-GB"/>
              </w:rPr>
              <w:t>5/41 (12,1%)</w:t>
            </w:r>
          </w:p>
          <w:p w14:paraId="72A2559F" w14:textId="77777777" w:rsidR="00CE715D" w:rsidRPr="00614735" w:rsidRDefault="00CE715D" w:rsidP="00742AB9">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sidRPr="00614735">
              <w:rPr>
                <w:rFonts w:cs="Times New Roman"/>
                <w:sz w:val="20"/>
                <w:szCs w:val="20"/>
                <w:lang w:val="en-GB"/>
              </w:rPr>
              <w:t>0/25 (0%)</w:t>
            </w:r>
          </w:p>
        </w:tc>
        <w:tc>
          <w:tcPr>
            <w:tcW w:w="684" w:type="pct"/>
          </w:tcPr>
          <w:p w14:paraId="58BB96FE" w14:textId="77777777" w:rsidR="00CE715D" w:rsidRPr="00614735" w:rsidRDefault="00CE715D" w:rsidP="00742AB9">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sidRPr="00614735">
              <w:rPr>
                <w:rFonts w:cs="Times New Roman"/>
                <w:sz w:val="20"/>
                <w:szCs w:val="20"/>
                <w:lang w:val="en-GB"/>
              </w:rPr>
              <w:t>4/41 (9,8%)</w:t>
            </w:r>
          </w:p>
          <w:p w14:paraId="2F9C6D35" w14:textId="77777777" w:rsidR="00CE715D" w:rsidRPr="00614735" w:rsidRDefault="00CE715D" w:rsidP="00742AB9">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sidRPr="00614735">
              <w:rPr>
                <w:rFonts w:cs="Times New Roman"/>
                <w:sz w:val="20"/>
                <w:szCs w:val="20"/>
                <w:lang w:val="en-GB"/>
              </w:rPr>
              <w:t>0/25 (0%)</w:t>
            </w:r>
          </w:p>
        </w:tc>
        <w:tc>
          <w:tcPr>
            <w:tcW w:w="684" w:type="pct"/>
          </w:tcPr>
          <w:p w14:paraId="1F16696A" w14:textId="77777777" w:rsidR="00CE715D" w:rsidRPr="00614735" w:rsidRDefault="00CE715D" w:rsidP="00742AB9">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sidRPr="00614735">
              <w:rPr>
                <w:rFonts w:cs="Times New Roman"/>
                <w:sz w:val="20"/>
                <w:szCs w:val="20"/>
                <w:lang w:val="en-GB"/>
              </w:rPr>
              <w:t>3/41 (7,3%)</w:t>
            </w:r>
          </w:p>
          <w:p w14:paraId="39D6D536" w14:textId="77777777" w:rsidR="00CE715D" w:rsidRPr="00614735" w:rsidRDefault="00CE715D" w:rsidP="00742AB9">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sidRPr="00614735">
              <w:rPr>
                <w:rFonts w:cs="Times New Roman"/>
                <w:sz w:val="20"/>
                <w:szCs w:val="20"/>
                <w:lang w:val="en-GB"/>
              </w:rPr>
              <w:t>2/25 (8%)</w:t>
            </w:r>
          </w:p>
        </w:tc>
      </w:tr>
    </w:tbl>
    <w:p w14:paraId="297D697F" w14:textId="4F51947D" w:rsidR="00CE715D" w:rsidRPr="00610E84" w:rsidRDefault="00CE715D" w:rsidP="008F1197">
      <w:pPr>
        <w:spacing w:after="0"/>
        <w:jc w:val="both"/>
        <w:rPr>
          <w:sz w:val="18"/>
          <w:szCs w:val="18"/>
          <w:lang w:val="en-GB"/>
        </w:rPr>
      </w:pPr>
      <w:r w:rsidRPr="00F31CCD">
        <w:rPr>
          <w:sz w:val="18"/>
          <w:szCs w:val="18"/>
          <w:lang w:val="en-GB"/>
        </w:rPr>
        <w:t>Smoking: Moderate: 1 to 20 cigarettes a day, High: &gt;20 cigarettes a day. ASO: theoretical education, TSO: technical education, BSO: vocational training, BUSO: school for children with learning difficulties, KSO: art school.</w:t>
      </w:r>
      <w:r>
        <w:rPr>
          <w:sz w:val="18"/>
          <w:szCs w:val="18"/>
          <w:lang w:val="en-GB"/>
        </w:rPr>
        <w:t xml:space="preserve"> L: lynestrenol monotherapy; L+T</w:t>
      </w:r>
      <w:r w:rsidR="0096311D">
        <w:rPr>
          <w:sz w:val="18"/>
          <w:szCs w:val="18"/>
          <w:lang w:val="en-GB"/>
        </w:rPr>
        <w:t>E</w:t>
      </w:r>
      <w:r>
        <w:rPr>
          <w:sz w:val="18"/>
          <w:szCs w:val="18"/>
          <w:lang w:val="en-GB"/>
        </w:rPr>
        <w:t>: lynestrenol and testosterone esters combination therapy.</w:t>
      </w:r>
    </w:p>
    <w:p w14:paraId="4B44E4A9" w14:textId="77777777" w:rsidR="007A063A" w:rsidRPr="00CE715D" w:rsidRDefault="007A063A" w:rsidP="00C942CA">
      <w:pPr>
        <w:pStyle w:val="Kop3"/>
        <w:rPr>
          <w:lang w:val="en-GB"/>
        </w:rPr>
      </w:pPr>
      <w:bookmarkStart w:id="41" w:name="_Toc451961497"/>
      <w:r w:rsidRPr="00CE715D">
        <w:rPr>
          <w:lang w:val="en-GB"/>
        </w:rPr>
        <w:t>Anthropometry</w:t>
      </w:r>
      <w:bookmarkEnd w:id="41"/>
    </w:p>
    <w:p w14:paraId="2D04F1BA" w14:textId="7B08A34C" w:rsidR="007A063A" w:rsidRPr="00CE715D" w:rsidRDefault="007A063A" w:rsidP="00FE41E1">
      <w:pPr>
        <w:spacing w:after="0"/>
        <w:jc w:val="both"/>
        <w:rPr>
          <w:bCs/>
          <w:lang w:val="en-GB"/>
        </w:rPr>
      </w:pPr>
      <w:r w:rsidRPr="00CE715D">
        <w:rPr>
          <w:bCs/>
          <w:lang w:val="en-GB"/>
        </w:rPr>
        <w:t>Me</w:t>
      </w:r>
      <w:r w:rsidR="002C32EF">
        <w:rPr>
          <w:bCs/>
          <w:lang w:val="en-GB"/>
        </w:rPr>
        <w:t>an height at start of L was 166</w:t>
      </w:r>
      <w:r w:rsidR="0057324C">
        <w:rPr>
          <w:bCs/>
          <w:lang w:val="en-GB"/>
        </w:rPr>
        <w:t>,</w:t>
      </w:r>
      <w:r w:rsidR="002C32EF">
        <w:rPr>
          <w:bCs/>
          <w:lang w:val="en-GB"/>
        </w:rPr>
        <w:t>9</w:t>
      </w:r>
      <w:r w:rsidRPr="00CE715D">
        <w:rPr>
          <w:bCs/>
          <w:lang w:val="en-GB"/>
        </w:rPr>
        <w:t xml:space="preserve"> cm, a</w:t>
      </w:r>
      <w:r w:rsidR="0057324C">
        <w:rPr>
          <w:bCs/>
          <w:lang w:val="en-GB"/>
        </w:rPr>
        <w:t>nd at start of L +T, it was 167,</w:t>
      </w:r>
      <w:r w:rsidRPr="00CE715D">
        <w:rPr>
          <w:bCs/>
          <w:lang w:val="en-GB"/>
        </w:rPr>
        <w:t xml:space="preserve">6 cm. Weight and body mass index (BMI) significantly increased in the first 6 months </w:t>
      </w:r>
      <w:r w:rsidR="003E1FA1">
        <w:rPr>
          <w:bCs/>
          <w:lang w:val="en-GB"/>
        </w:rPr>
        <w:t>of L</w:t>
      </w:r>
      <w:r w:rsidR="003C5C20">
        <w:rPr>
          <w:bCs/>
          <w:lang w:val="en-GB"/>
        </w:rPr>
        <w:t>, which was not significantly different from their age-matched, female peers</w:t>
      </w:r>
      <w:r w:rsidR="003C5C20" w:rsidRPr="003C5C20">
        <w:rPr>
          <w:bCs/>
          <w:lang w:val="en-GB"/>
        </w:rPr>
        <w:t xml:space="preserve"> </w:t>
      </w:r>
      <w:r w:rsidR="003C5C20" w:rsidRPr="00CE715D">
        <w:rPr>
          <w:bCs/>
          <w:lang w:val="en-GB"/>
        </w:rPr>
        <w:t xml:space="preserve">based on standard </w:t>
      </w:r>
      <w:r w:rsidR="003C5C20">
        <w:rPr>
          <w:bCs/>
          <w:lang w:val="en-GB"/>
        </w:rPr>
        <w:t>d</w:t>
      </w:r>
      <w:r w:rsidR="003C5C20" w:rsidRPr="00CE715D">
        <w:rPr>
          <w:bCs/>
          <w:lang w:val="en-GB"/>
        </w:rPr>
        <w:t>eviation (SD) scores</w:t>
      </w:r>
      <w:r w:rsidR="003C5C20">
        <w:rPr>
          <w:bCs/>
          <w:lang w:val="en-GB"/>
        </w:rPr>
        <w:t xml:space="preserve"> </w:t>
      </w:r>
      <w:r w:rsidR="003C5C20">
        <w:rPr>
          <w:bCs/>
          <w:lang w:val="en-GB"/>
        </w:rPr>
        <w:fldChar w:fldCharType="begin" w:fldLock="1"/>
      </w:r>
      <w:r w:rsidR="002C52CA">
        <w:rPr>
          <w:bCs/>
          <w:lang w:val="en-GB"/>
        </w:rPr>
        <w:instrText>ADDIN CSL_CITATION { "citationItems" : [ { "id" : "ITEM-1", "itemData" : { "DOI" : "10.3109/03014460903049074", "ISSN" : "1464-5033", "PMID" : "19919503", "abstract" : "BACKGROUND: Due to the secular trend in length and height, growth references need to be updated regularly. Reference charts that were until recently used in Belgium are based on samples collected more than 30 years ago, and references for body mass index (BMI) and pubertal development have not been established before.\n\nAIMS: To establish contemporary cross-sectional reference charts for height, weight, BMI, head circumference, and pubertal development from birth to 21 years of age, based on a representative sample of children from Flanders, Belgium.\n\nSUBJECTS AND METHODS: 15 989 healthy subjects of Belgian origin, 0-25 years of age, were measured in 2002-2004. Growth curves were fitted with the LMS method, and percentiles for the pubertal development were estimated with generalized additive models on status quo data from 8690 subjects aged 6-22 years of age.\n\nRESULTS: A positive secular trend in height and weight is observed in children above 5 years of age. Adult median height has increased by 1.2 cm/decade in boys and 0.8 cm/decade in girls; median weight by 0.9 kg/decade in boys, and 1.0 kg/decade in girls, and the weight distribution became more skewed. The BMI curve is comparable to that of other populations, except for higher percentiles. This reflects the increasing prevalence of overweight and obesity. Median age at menarche (13.0 years) has not advanced any more over the past 50 years. Median ages at menarche and B2 in girls and G2 or T4 in boys are comparable to other West European estimates, but approximately 10% enter G2/T4 before 9 years of age.\n\nCONCLUSIONS: The ongoing secular trend in height and weight makes growth charts previously used in Belgium obsolete. New representative charts for growth and pubertal development are introduced. For weight monitoring, it is advised that the now-available BMI growth charts are used.", "author" : [ { "dropping-particle" : "", "family" : "Roelants", "given" : "M", "non-dropping-particle" : "", "parse-names" : false, "suffix" : "" }, { "dropping-particle" : "", "family" : "Hauspie", "given" : "R", "non-dropping-particle" : "", "parse-names" : false, "suffix" : "" }, { "dropping-particle" : "", "family" : "Hoppenbrouwers", "given" : "K", "non-dropping-particle" : "", "parse-names" : false, "suffix" : "" } ], "container-title" : "Annals of human biology", "id" : "ITEM-1", "issue" : "6", "issued" : { "date-parts" : [ [ "0", "1" ] ] }, "page" : "680-94", "title" : "References for growth and pubertal development from birth to 21 years in Flanders, Belgium.", "type" : "article-journal", "volume" : "36" }, "uris" : [ "http://www.mendeley.com/documents/?uuid=1c401ea5-4197-4d59-8618-56bb78477688" ] } ], "mendeley" : { "formattedCitation" : "(55)", "plainTextFormattedCitation" : "(55)", "previouslyFormattedCitation" : "(55)" }, "properties" : { "noteIndex" : 0 }, "schema" : "https://github.com/citation-style-language/schema/raw/master/csl-citation.json" }</w:instrText>
      </w:r>
      <w:r w:rsidR="003C5C20">
        <w:rPr>
          <w:bCs/>
          <w:lang w:val="en-GB"/>
        </w:rPr>
        <w:fldChar w:fldCharType="separate"/>
      </w:r>
      <w:r w:rsidR="00C7364E" w:rsidRPr="00C7364E">
        <w:rPr>
          <w:bCs/>
          <w:noProof/>
          <w:lang w:val="en-GB"/>
        </w:rPr>
        <w:t>(55)</w:t>
      </w:r>
      <w:r w:rsidR="003C5C20">
        <w:rPr>
          <w:bCs/>
          <w:lang w:val="en-GB"/>
        </w:rPr>
        <w:fldChar w:fldCharType="end"/>
      </w:r>
      <w:r w:rsidR="003C5C20">
        <w:rPr>
          <w:bCs/>
          <w:lang w:val="en-GB"/>
        </w:rPr>
        <w:t xml:space="preserve">. </w:t>
      </w:r>
      <w:r w:rsidRPr="00CE715D">
        <w:rPr>
          <w:bCs/>
          <w:lang w:val="en-GB"/>
        </w:rPr>
        <w:t>L+T</w:t>
      </w:r>
      <w:r w:rsidR="0087586D">
        <w:rPr>
          <w:bCs/>
          <w:lang w:val="en-GB"/>
        </w:rPr>
        <w:t>E</w:t>
      </w:r>
      <w:r w:rsidRPr="00CE715D">
        <w:rPr>
          <w:bCs/>
          <w:lang w:val="en-GB"/>
        </w:rPr>
        <w:t xml:space="preserve"> was associated with a significant and continuous we</w:t>
      </w:r>
      <w:r w:rsidR="003C5C20">
        <w:rPr>
          <w:bCs/>
          <w:lang w:val="en-GB"/>
        </w:rPr>
        <w:t xml:space="preserve">ight gain after 6 months </w:t>
      </w:r>
      <w:r w:rsidR="00DD15C9">
        <w:rPr>
          <w:bCs/>
          <w:lang w:val="en-GB"/>
        </w:rPr>
        <w:t>and 12 months</w:t>
      </w:r>
      <w:r w:rsidRPr="00CE715D">
        <w:rPr>
          <w:bCs/>
          <w:lang w:val="en-GB"/>
        </w:rPr>
        <w:t xml:space="preserve">. This increase in weight and BMI was significantly different from </w:t>
      </w:r>
      <w:r w:rsidR="003C5C20">
        <w:rPr>
          <w:bCs/>
          <w:lang w:val="en-GB"/>
        </w:rPr>
        <w:t>their age-matched, female peers</w:t>
      </w:r>
      <w:r w:rsidR="00040140">
        <w:rPr>
          <w:bCs/>
          <w:lang w:val="en-GB"/>
        </w:rPr>
        <w:t xml:space="preserve"> based on SD scores</w:t>
      </w:r>
      <w:r w:rsidRPr="00CE715D">
        <w:rPr>
          <w:bCs/>
          <w:lang w:val="en-GB"/>
        </w:rPr>
        <w:t xml:space="preserve">. Evolution of weight and BMI </w:t>
      </w:r>
      <w:r w:rsidR="0052061F">
        <w:rPr>
          <w:bCs/>
          <w:lang w:val="en-GB"/>
        </w:rPr>
        <w:t xml:space="preserve">are represented in Table </w:t>
      </w:r>
      <w:r w:rsidR="00A44497">
        <w:rPr>
          <w:bCs/>
          <w:lang w:val="en-GB"/>
        </w:rPr>
        <w:t>5</w:t>
      </w:r>
      <w:r w:rsidR="00624AB0">
        <w:rPr>
          <w:bCs/>
          <w:lang w:val="en-GB"/>
        </w:rPr>
        <w:t xml:space="preserve"> and Figure 3</w:t>
      </w:r>
      <w:r w:rsidRPr="00CE715D">
        <w:rPr>
          <w:bCs/>
          <w:lang w:val="en-GB"/>
        </w:rPr>
        <w:t xml:space="preserve">. </w:t>
      </w:r>
    </w:p>
    <w:p w14:paraId="31BA273E" w14:textId="77777777" w:rsidR="00CE715D" w:rsidRDefault="00CE715D" w:rsidP="00CE715D">
      <w:pPr>
        <w:spacing w:after="0"/>
        <w:rPr>
          <w:b/>
          <w:lang w:val="en-GB"/>
        </w:rPr>
      </w:pPr>
    </w:p>
    <w:p w14:paraId="7D9E2759" w14:textId="77777777" w:rsidR="0057324C" w:rsidRDefault="0057324C" w:rsidP="00CE715D">
      <w:pPr>
        <w:spacing w:after="0"/>
        <w:rPr>
          <w:b/>
          <w:lang w:val="en-GB"/>
        </w:rPr>
      </w:pPr>
    </w:p>
    <w:p w14:paraId="6C153501" w14:textId="77777777" w:rsidR="00537EC1" w:rsidRDefault="00537EC1" w:rsidP="00D74007">
      <w:pPr>
        <w:spacing w:after="0"/>
        <w:rPr>
          <w:b/>
          <w:lang w:val="en-GB"/>
        </w:rPr>
      </w:pPr>
    </w:p>
    <w:p w14:paraId="02B92043" w14:textId="42AD79A9" w:rsidR="002D21AA" w:rsidRPr="003A6EF4" w:rsidRDefault="00CE715D" w:rsidP="00D74007">
      <w:pPr>
        <w:spacing w:after="0"/>
        <w:rPr>
          <w:lang w:val="en-GB"/>
        </w:rPr>
      </w:pPr>
      <w:r w:rsidRPr="00CE715D">
        <w:rPr>
          <w:b/>
          <w:lang w:val="en-GB"/>
        </w:rPr>
        <w:t xml:space="preserve">Table </w:t>
      </w:r>
      <w:r w:rsidR="00A44497">
        <w:rPr>
          <w:b/>
          <w:lang w:val="en-GB"/>
        </w:rPr>
        <w:t>5</w:t>
      </w:r>
      <w:r w:rsidRPr="00CE715D">
        <w:rPr>
          <w:b/>
          <w:lang w:val="en-GB"/>
        </w:rPr>
        <w:t>.</w:t>
      </w:r>
      <w:r w:rsidRPr="006E08CD">
        <w:rPr>
          <w:lang w:val="en-GB"/>
        </w:rPr>
        <w:t xml:space="preserve"> Summary </w:t>
      </w:r>
      <w:r w:rsidR="00251048">
        <w:rPr>
          <w:lang w:val="en-GB"/>
        </w:rPr>
        <w:t>weight evolution</w:t>
      </w:r>
      <w:r w:rsidR="003A6EF4">
        <w:rPr>
          <w:lang w:val="en-GB"/>
        </w:rPr>
        <w:t>.</w:t>
      </w:r>
    </w:p>
    <w:tbl>
      <w:tblPr>
        <w:tblStyle w:val="Onopgemaaktetabel21"/>
        <w:tblW w:w="9322" w:type="dxa"/>
        <w:tblLook w:val="04A0" w:firstRow="1" w:lastRow="0" w:firstColumn="1" w:lastColumn="0" w:noHBand="0" w:noVBand="1"/>
      </w:tblPr>
      <w:tblGrid>
        <w:gridCol w:w="837"/>
        <w:gridCol w:w="1697"/>
        <w:gridCol w:w="1697"/>
        <w:gridCol w:w="1697"/>
        <w:gridCol w:w="1697"/>
        <w:gridCol w:w="1697"/>
      </w:tblGrid>
      <w:tr w:rsidR="00BA0ED8" w:rsidRPr="002A729A" w14:paraId="5152936A" w14:textId="77777777" w:rsidTr="00BA0E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7" w:type="dxa"/>
          </w:tcPr>
          <w:p w14:paraId="72D91857" w14:textId="77777777" w:rsidR="00BA0ED8" w:rsidRPr="00BA0ED8" w:rsidRDefault="00BA0ED8" w:rsidP="00075C22">
            <w:pPr>
              <w:jc w:val="center"/>
              <w:rPr>
                <w:sz w:val="18"/>
                <w:szCs w:val="18"/>
                <w:lang w:val="en-GB"/>
              </w:rPr>
            </w:pPr>
          </w:p>
        </w:tc>
        <w:tc>
          <w:tcPr>
            <w:tcW w:w="1697" w:type="dxa"/>
          </w:tcPr>
          <w:p w14:paraId="6C4EEED2" w14:textId="0852927B" w:rsidR="00BA0ED8" w:rsidRPr="00BA0ED8" w:rsidRDefault="002E221B" w:rsidP="00075C22">
            <w:pPr>
              <w:jc w:val="center"/>
              <w:cnfStyle w:val="100000000000" w:firstRow="1" w:lastRow="0" w:firstColumn="0" w:lastColumn="0" w:oddVBand="0" w:evenVBand="0" w:oddHBand="0" w:evenHBand="0" w:firstRowFirstColumn="0" w:firstRowLastColumn="0" w:lastRowFirstColumn="0" w:lastRowLastColumn="0"/>
              <w:rPr>
                <w:sz w:val="18"/>
                <w:szCs w:val="18"/>
                <w:lang w:val="en-GB"/>
              </w:rPr>
            </w:pPr>
            <w:r>
              <w:rPr>
                <w:sz w:val="18"/>
                <w:szCs w:val="18"/>
                <w:lang w:val="en-GB"/>
              </w:rPr>
              <w:t xml:space="preserve">L: </w:t>
            </w:r>
            <w:r w:rsidR="00BA0ED8" w:rsidRPr="00BA0ED8">
              <w:rPr>
                <w:sz w:val="18"/>
                <w:szCs w:val="18"/>
                <w:lang w:val="en-GB"/>
              </w:rPr>
              <w:t>6</w:t>
            </w:r>
            <w:r>
              <w:rPr>
                <w:sz w:val="18"/>
                <w:szCs w:val="18"/>
                <w:lang w:val="en-GB"/>
              </w:rPr>
              <w:t xml:space="preserve"> </w:t>
            </w:r>
            <w:r w:rsidR="00BA0ED8" w:rsidRPr="00BA0ED8">
              <w:rPr>
                <w:sz w:val="18"/>
                <w:szCs w:val="18"/>
                <w:lang w:val="en-GB"/>
              </w:rPr>
              <w:t>m</w:t>
            </w:r>
            <w:r>
              <w:rPr>
                <w:sz w:val="18"/>
                <w:szCs w:val="18"/>
                <w:lang w:val="en-GB"/>
              </w:rPr>
              <w:t>onths</w:t>
            </w:r>
          </w:p>
          <w:p w14:paraId="2D1748E1" w14:textId="5B63C63A" w:rsidR="00BA0ED8" w:rsidRPr="00BA0ED8" w:rsidRDefault="00BA0ED8" w:rsidP="00075C22">
            <w:pPr>
              <w:jc w:val="center"/>
              <w:cnfStyle w:val="100000000000" w:firstRow="1" w:lastRow="0" w:firstColumn="0" w:lastColumn="0" w:oddVBand="0" w:evenVBand="0" w:oddHBand="0" w:evenHBand="0" w:firstRowFirstColumn="0" w:firstRowLastColumn="0" w:lastRowFirstColumn="0" w:lastRowLastColumn="0"/>
              <w:rPr>
                <w:sz w:val="18"/>
                <w:szCs w:val="18"/>
                <w:lang w:val="en-GB"/>
              </w:rPr>
            </w:pPr>
            <w:r w:rsidRPr="00BA0ED8">
              <w:rPr>
                <w:sz w:val="18"/>
                <w:szCs w:val="18"/>
                <w:lang w:val="en-GB"/>
              </w:rPr>
              <w:t>(P-value)</w:t>
            </w:r>
          </w:p>
        </w:tc>
        <w:tc>
          <w:tcPr>
            <w:tcW w:w="1697" w:type="dxa"/>
          </w:tcPr>
          <w:p w14:paraId="65E60E33" w14:textId="143A0BB9" w:rsidR="00BA0ED8" w:rsidRPr="00BA0ED8" w:rsidRDefault="00BA0ED8" w:rsidP="00075C22">
            <w:pPr>
              <w:jc w:val="center"/>
              <w:cnfStyle w:val="100000000000" w:firstRow="1" w:lastRow="0" w:firstColumn="0" w:lastColumn="0" w:oddVBand="0" w:evenVBand="0" w:oddHBand="0" w:evenHBand="0" w:firstRowFirstColumn="0" w:firstRowLastColumn="0" w:lastRowFirstColumn="0" w:lastRowLastColumn="0"/>
              <w:rPr>
                <w:sz w:val="18"/>
                <w:szCs w:val="18"/>
                <w:lang w:val="en-GB"/>
              </w:rPr>
            </w:pPr>
            <w:r w:rsidRPr="00BA0ED8">
              <w:rPr>
                <w:sz w:val="18"/>
                <w:szCs w:val="18"/>
                <w:lang w:val="en-GB"/>
              </w:rPr>
              <w:t>L</w:t>
            </w:r>
            <w:r w:rsidR="002E221B">
              <w:rPr>
                <w:sz w:val="18"/>
                <w:szCs w:val="18"/>
                <w:lang w:val="en-GB"/>
              </w:rPr>
              <w:t xml:space="preserve">: </w:t>
            </w:r>
            <w:r w:rsidRPr="00BA0ED8">
              <w:rPr>
                <w:sz w:val="18"/>
                <w:szCs w:val="18"/>
                <w:lang w:val="en-GB"/>
              </w:rPr>
              <w:t>12</w:t>
            </w:r>
            <w:r w:rsidR="002E221B">
              <w:rPr>
                <w:sz w:val="18"/>
                <w:szCs w:val="18"/>
                <w:lang w:val="en-GB"/>
              </w:rPr>
              <w:t xml:space="preserve"> </w:t>
            </w:r>
            <w:r w:rsidRPr="00BA0ED8">
              <w:rPr>
                <w:sz w:val="18"/>
                <w:szCs w:val="18"/>
                <w:lang w:val="en-GB"/>
              </w:rPr>
              <w:t>m</w:t>
            </w:r>
            <w:r w:rsidR="002E221B">
              <w:rPr>
                <w:sz w:val="18"/>
                <w:szCs w:val="18"/>
                <w:lang w:val="en-GB"/>
              </w:rPr>
              <w:t>onths</w:t>
            </w:r>
          </w:p>
          <w:p w14:paraId="33315DE1" w14:textId="52E584AD" w:rsidR="00BA0ED8" w:rsidRPr="00BA0ED8" w:rsidRDefault="00BA0ED8" w:rsidP="00075C22">
            <w:pPr>
              <w:jc w:val="center"/>
              <w:cnfStyle w:val="100000000000" w:firstRow="1" w:lastRow="0" w:firstColumn="0" w:lastColumn="0" w:oddVBand="0" w:evenVBand="0" w:oddHBand="0" w:evenHBand="0" w:firstRowFirstColumn="0" w:firstRowLastColumn="0" w:lastRowFirstColumn="0" w:lastRowLastColumn="0"/>
              <w:rPr>
                <w:sz w:val="18"/>
                <w:szCs w:val="18"/>
                <w:lang w:val="en-GB"/>
              </w:rPr>
            </w:pPr>
            <w:r w:rsidRPr="00BA0ED8">
              <w:rPr>
                <w:sz w:val="18"/>
                <w:szCs w:val="18"/>
                <w:lang w:val="en-GB"/>
              </w:rPr>
              <w:t>(P-value)</w:t>
            </w:r>
          </w:p>
        </w:tc>
        <w:tc>
          <w:tcPr>
            <w:tcW w:w="1697" w:type="dxa"/>
          </w:tcPr>
          <w:p w14:paraId="630AD441" w14:textId="1B4B7784" w:rsidR="00BA0ED8" w:rsidRPr="00611420" w:rsidRDefault="002E221B" w:rsidP="00075C22">
            <w:pPr>
              <w:jc w:val="center"/>
              <w:cnfStyle w:val="100000000000" w:firstRow="1" w:lastRow="0" w:firstColumn="0" w:lastColumn="0" w:oddVBand="0" w:evenVBand="0" w:oddHBand="0" w:evenHBand="0" w:firstRowFirstColumn="0" w:firstRowLastColumn="0" w:lastRowFirstColumn="0" w:lastRowLastColumn="0"/>
              <w:rPr>
                <w:sz w:val="18"/>
                <w:szCs w:val="18"/>
              </w:rPr>
            </w:pPr>
            <w:r w:rsidRPr="00611420">
              <w:rPr>
                <w:sz w:val="18"/>
                <w:szCs w:val="18"/>
              </w:rPr>
              <w:t xml:space="preserve">L: </w:t>
            </w:r>
            <w:r w:rsidR="00BA0ED8" w:rsidRPr="00611420">
              <w:rPr>
                <w:sz w:val="18"/>
                <w:szCs w:val="18"/>
              </w:rPr>
              <w:t>L+TE</w:t>
            </w:r>
          </w:p>
          <w:p w14:paraId="6A077C8F" w14:textId="197527AF" w:rsidR="00BA0ED8" w:rsidRPr="00611420" w:rsidRDefault="00BA0ED8" w:rsidP="00075C22">
            <w:pPr>
              <w:jc w:val="center"/>
              <w:cnfStyle w:val="100000000000" w:firstRow="1" w:lastRow="0" w:firstColumn="0" w:lastColumn="0" w:oddVBand="0" w:evenVBand="0" w:oddHBand="0" w:evenHBand="0" w:firstRowFirstColumn="0" w:firstRowLastColumn="0" w:lastRowFirstColumn="0" w:lastRowLastColumn="0"/>
              <w:rPr>
                <w:sz w:val="18"/>
                <w:szCs w:val="18"/>
              </w:rPr>
            </w:pPr>
            <w:r w:rsidRPr="00611420">
              <w:rPr>
                <w:sz w:val="18"/>
                <w:szCs w:val="18"/>
              </w:rPr>
              <w:t>(P-value)</w:t>
            </w:r>
          </w:p>
        </w:tc>
        <w:tc>
          <w:tcPr>
            <w:tcW w:w="1697" w:type="dxa"/>
          </w:tcPr>
          <w:p w14:paraId="5D3DBA80" w14:textId="75F46263" w:rsidR="00BA0ED8" w:rsidRPr="00BA0ED8" w:rsidRDefault="00BA0ED8" w:rsidP="00075C22">
            <w:pPr>
              <w:jc w:val="center"/>
              <w:cnfStyle w:val="100000000000" w:firstRow="1" w:lastRow="0" w:firstColumn="0" w:lastColumn="0" w:oddVBand="0" w:evenVBand="0" w:oddHBand="0" w:evenHBand="0" w:firstRowFirstColumn="0" w:firstRowLastColumn="0" w:lastRowFirstColumn="0" w:lastRowLastColumn="0"/>
              <w:rPr>
                <w:sz w:val="18"/>
                <w:szCs w:val="18"/>
                <w:lang w:val="en-GB"/>
              </w:rPr>
            </w:pPr>
            <w:r w:rsidRPr="00BA0ED8">
              <w:rPr>
                <w:sz w:val="18"/>
                <w:szCs w:val="18"/>
                <w:lang w:val="en-GB"/>
              </w:rPr>
              <w:t>L+TE</w:t>
            </w:r>
            <w:r w:rsidR="002E221B">
              <w:rPr>
                <w:sz w:val="18"/>
                <w:szCs w:val="18"/>
                <w:lang w:val="en-GB"/>
              </w:rPr>
              <w:t xml:space="preserve">: </w:t>
            </w:r>
            <w:r w:rsidRPr="00BA0ED8">
              <w:rPr>
                <w:sz w:val="18"/>
                <w:szCs w:val="18"/>
                <w:lang w:val="en-GB"/>
              </w:rPr>
              <w:t>6</w:t>
            </w:r>
            <w:r w:rsidR="002E221B">
              <w:rPr>
                <w:sz w:val="18"/>
                <w:szCs w:val="18"/>
                <w:lang w:val="en-GB"/>
              </w:rPr>
              <w:t xml:space="preserve"> </w:t>
            </w:r>
            <w:r w:rsidRPr="00BA0ED8">
              <w:rPr>
                <w:sz w:val="18"/>
                <w:szCs w:val="18"/>
                <w:lang w:val="en-GB"/>
              </w:rPr>
              <w:t>m</w:t>
            </w:r>
            <w:r w:rsidR="002E221B">
              <w:rPr>
                <w:sz w:val="18"/>
                <w:szCs w:val="18"/>
                <w:lang w:val="en-GB"/>
              </w:rPr>
              <w:t>onths</w:t>
            </w:r>
          </w:p>
          <w:p w14:paraId="58E2AF0D" w14:textId="06B1296F" w:rsidR="00BA0ED8" w:rsidRPr="00BA0ED8" w:rsidRDefault="00BA0ED8" w:rsidP="00075C22">
            <w:pPr>
              <w:jc w:val="center"/>
              <w:cnfStyle w:val="100000000000" w:firstRow="1" w:lastRow="0" w:firstColumn="0" w:lastColumn="0" w:oddVBand="0" w:evenVBand="0" w:oddHBand="0" w:evenHBand="0" w:firstRowFirstColumn="0" w:firstRowLastColumn="0" w:lastRowFirstColumn="0" w:lastRowLastColumn="0"/>
              <w:rPr>
                <w:sz w:val="18"/>
                <w:szCs w:val="18"/>
                <w:lang w:val="en-GB"/>
              </w:rPr>
            </w:pPr>
            <w:r w:rsidRPr="00BA0ED8">
              <w:rPr>
                <w:sz w:val="18"/>
                <w:szCs w:val="18"/>
                <w:lang w:val="en-GB"/>
              </w:rPr>
              <w:t>(P-value)</w:t>
            </w:r>
          </w:p>
        </w:tc>
        <w:tc>
          <w:tcPr>
            <w:tcW w:w="1697" w:type="dxa"/>
          </w:tcPr>
          <w:p w14:paraId="48176FF3" w14:textId="7680B7E2" w:rsidR="00BA0ED8" w:rsidRPr="00BA0ED8" w:rsidRDefault="00BA0ED8" w:rsidP="00075C22">
            <w:pPr>
              <w:jc w:val="center"/>
              <w:cnfStyle w:val="100000000000" w:firstRow="1" w:lastRow="0" w:firstColumn="0" w:lastColumn="0" w:oddVBand="0" w:evenVBand="0" w:oddHBand="0" w:evenHBand="0" w:firstRowFirstColumn="0" w:firstRowLastColumn="0" w:lastRowFirstColumn="0" w:lastRowLastColumn="0"/>
              <w:rPr>
                <w:sz w:val="18"/>
                <w:szCs w:val="18"/>
                <w:lang w:val="en-GB"/>
              </w:rPr>
            </w:pPr>
            <w:r w:rsidRPr="00BA0ED8">
              <w:rPr>
                <w:sz w:val="18"/>
                <w:szCs w:val="18"/>
                <w:lang w:val="en-GB"/>
              </w:rPr>
              <w:t>L+TE</w:t>
            </w:r>
            <w:r w:rsidR="002E221B">
              <w:rPr>
                <w:sz w:val="18"/>
                <w:szCs w:val="18"/>
                <w:lang w:val="en-GB"/>
              </w:rPr>
              <w:t xml:space="preserve">: </w:t>
            </w:r>
            <w:r w:rsidRPr="00BA0ED8">
              <w:rPr>
                <w:sz w:val="18"/>
                <w:szCs w:val="18"/>
                <w:lang w:val="en-GB"/>
              </w:rPr>
              <w:t>12</w:t>
            </w:r>
            <w:r w:rsidR="002E221B">
              <w:rPr>
                <w:sz w:val="18"/>
                <w:szCs w:val="18"/>
                <w:lang w:val="en-GB"/>
              </w:rPr>
              <w:t xml:space="preserve"> </w:t>
            </w:r>
            <w:r w:rsidRPr="00BA0ED8">
              <w:rPr>
                <w:sz w:val="18"/>
                <w:szCs w:val="18"/>
                <w:lang w:val="en-GB"/>
              </w:rPr>
              <w:t>m</w:t>
            </w:r>
            <w:r w:rsidR="002E221B">
              <w:rPr>
                <w:sz w:val="18"/>
                <w:szCs w:val="18"/>
                <w:lang w:val="en-GB"/>
              </w:rPr>
              <w:t>onths</w:t>
            </w:r>
          </w:p>
          <w:p w14:paraId="5B010611" w14:textId="0B9575FB" w:rsidR="00BA0ED8" w:rsidRPr="00BA0ED8" w:rsidRDefault="00BA0ED8" w:rsidP="00075C22">
            <w:pPr>
              <w:jc w:val="center"/>
              <w:cnfStyle w:val="100000000000" w:firstRow="1" w:lastRow="0" w:firstColumn="0" w:lastColumn="0" w:oddVBand="0" w:evenVBand="0" w:oddHBand="0" w:evenHBand="0" w:firstRowFirstColumn="0" w:firstRowLastColumn="0" w:lastRowFirstColumn="0" w:lastRowLastColumn="0"/>
              <w:rPr>
                <w:sz w:val="18"/>
                <w:szCs w:val="18"/>
                <w:lang w:val="en-GB"/>
              </w:rPr>
            </w:pPr>
            <w:r w:rsidRPr="00BA0ED8">
              <w:rPr>
                <w:sz w:val="18"/>
                <w:szCs w:val="18"/>
                <w:lang w:val="en-GB"/>
              </w:rPr>
              <w:t>(P-value)</w:t>
            </w:r>
          </w:p>
        </w:tc>
      </w:tr>
      <w:tr w:rsidR="00BA0ED8" w14:paraId="2D5DEED4" w14:textId="77777777" w:rsidTr="00BA0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7" w:type="dxa"/>
          </w:tcPr>
          <w:p w14:paraId="5CCCC14A" w14:textId="559967C7" w:rsidR="00BA0ED8" w:rsidRPr="00BA0ED8" w:rsidRDefault="00BA0ED8" w:rsidP="00075C22">
            <w:pPr>
              <w:jc w:val="center"/>
              <w:rPr>
                <w:sz w:val="18"/>
                <w:szCs w:val="18"/>
                <w:lang w:val="en-GB"/>
              </w:rPr>
            </w:pPr>
            <w:r w:rsidRPr="00BA0ED8">
              <w:rPr>
                <w:sz w:val="18"/>
                <w:szCs w:val="18"/>
                <w:lang w:val="en-GB"/>
              </w:rPr>
              <w:t>Weight</w:t>
            </w:r>
          </w:p>
        </w:tc>
        <w:tc>
          <w:tcPr>
            <w:tcW w:w="1697" w:type="dxa"/>
          </w:tcPr>
          <w:p w14:paraId="347DFF91" w14:textId="588FFC48" w:rsidR="00BA0ED8" w:rsidRPr="00BA0ED8" w:rsidRDefault="003E1FA1" w:rsidP="00075C22">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w:t>
            </w:r>
            <w:r w:rsidR="00BA0ED8" w:rsidRPr="00BA0ED8">
              <w:rPr>
                <w:sz w:val="18"/>
                <w:szCs w:val="18"/>
                <w:lang w:val="en-GB"/>
              </w:rPr>
              <w:t>1,79 kg</w:t>
            </w:r>
          </w:p>
          <w:p w14:paraId="08EEAA89" w14:textId="4F0CAE0D" w:rsidR="00BA0ED8" w:rsidRPr="00BA0ED8" w:rsidRDefault="00BA0ED8" w:rsidP="00075C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sz w:val="18"/>
                <w:szCs w:val="18"/>
              </w:rPr>
            </w:pPr>
            <w:r w:rsidRPr="00BA0ED8">
              <w:rPr>
                <w:rFonts w:eastAsia="Times New Roman" w:cs="Times New Roman"/>
                <w:i/>
                <w:sz w:val="18"/>
                <w:szCs w:val="18"/>
              </w:rPr>
              <w:t>(0,004)</w:t>
            </w:r>
          </w:p>
        </w:tc>
        <w:tc>
          <w:tcPr>
            <w:tcW w:w="1697" w:type="dxa"/>
          </w:tcPr>
          <w:p w14:paraId="165CAF6A" w14:textId="076750FC" w:rsidR="00BA0ED8" w:rsidRPr="00BA0ED8" w:rsidRDefault="003E1FA1" w:rsidP="00075C22">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w:t>
            </w:r>
            <w:r w:rsidR="00BA0ED8" w:rsidRPr="00BA0ED8">
              <w:rPr>
                <w:sz w:val="18"/>
                <w:szCs w:val="18"/>
                <w:lang w:val="en-GB"/>
              </w:rPr>
              <w:t>2,02 kg</w:t>
            </w:r>
          </w:p>
          <w:p w14:paraId="716E6FF4" w14:textId="03ACC70B" w:rsidR="00BA0ED8" w:rsidRPr="00BA0ED8" w:rsidRDefault="00BA0ED8" w:rsidP="00075C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sz w:val="18"/>
                <w:szCs w:val="18"/>
              </w:rPr>
            </w:pPr>
            <w:r w:rsidRPr="00BA0ED8">
              <w:rPr>
                <w:rFonts w:eastAsia="Times New Roman" w:cs="Times New Roman"/>
                <w:i/>
                <w:sz w:val="18"/>
                <w:szCs w:val="18"/>
              </w:rPr>
              <w:t>(0,007)</w:t>
            </w:r>
          </w:p>
        </w:tc>
        <w:tc>
          <w:tcPr>
            <w:tcW w:w="1697" w:type="dxa"/>
          </w:tcPr>
          <w:p w14:paraId="4FD45986" w14:textId="53896B0E" w:rsidR="00BA0ED8" w:rsidRPr="00BA0ED8" w:rsidRDefault="003E1FA1" w:rsidP="00075C22">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w:t>
            </w:r>
            <w:r w:rsidR="00BA0ED8" w:rsidRPr="00BA0ED8">
              <w:rPr>
                <w:sz w:val="18"/>
                <w:szCs w:val="18"/>
                <w:lang w:val="en-GB"/>
              </w:rPr>
              <w:t>1,23 kg</w:t>
            </w:r>
          </w:p>
          <w:p w14:paraId="3E25BF03" w14:textId="1B16AC15" w:rsidR="00BA0ED8" w:rsidRPr="00BA0ED8" w:rsidRDefault="00BA0ED8" w:rsidP="00075C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sz w:val="18"/>
                <w:szCs w:val="18"/>
              </w:rPr>
            </w:pPr>
            <w:r w:rsidRPr="00BA0ED8">
              <w:rPr>
                <w:rFonts w:eastAsia="Times New Roman" w:cs="Times New Roman"/>
                <w:i/>
                <w:sz w:val="18"/>
                <w:szCs w:val="18"/>
              </w:rPr>
              <w:t>(0,052)</w:t>
            </w:r>
          </w:p>
        </w:tc>
        <w:tc>
          <w:tcPr>
            <w:tcW w:w="1697" w:type="dxa"/>
          </w:tcPr>
          <w:p w14:paraId="3651A289" w14:textId="5CB7F093" w:rsidR="00BA0ED8" w:rsidRPr="00BA0ED8" w:rsidRDefault="003E1FA1" w:rsidP="00075C22">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w:t>
            </w:r>
            <w:r w:rsidR="00BA0ED8" w:rsidRPr="00BA0ED8">
              <w:rPr>
                <w:sz w:val="18"/>
                <w:szCs w:val="18"/>
                <w:lang w:val="en-GB"/>
              </w:rPr>
              <w:t>2,58 kg</w:t>
            </w:r>
          </w:p>
          <w:p w14:paraId="12943367" w14:textId="25869011" w:rsidR="00BA0ED8" w:rsidRPr="00BA0ED8" w:rsidRDefault="00BA0ED8" w:rsidP="00075C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sz w:val="18"/>
                <w:szCs w:val="18"/>
              </w:rPr>
            </w:pPr>
            <w:r w:rsidRPr="00BA0ED8">
              <w:rPr>
                <w:rFonts w:eastAsia="Times New Roman" w:cs="Times New Roman"/>
                <w:i/>
                <w:sz w:val="18"/>
                <w:szCs w:val="18"/>
              </w:rPr>
              <w:t>(0,023)</w:t>
            </w:r>
          </w:p>
        </w:tc>
        <w:tc>
          <w:tcPr>
            <w:tcW w:w="1697" w:type="dxa"/>
          </w:tcPr>
          <w:p w14:paraId="120B250D" w14:textId="55662FDD" w:rsidR="00BA0ED8" w:rsidRPr="00BA0ED8" w:rsidRDefault="003E1FA1" w:rsidP="00075C22">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w:t>
            </w:r>
            <w:r w:rsidR="00BA0ED8" w:rsidRPr="00BA0ED8">
              <w:rPr>
                <w:sz w:val="18"/>
                <w:szCs w:val="18"/>
                <w:lang w:val="en-GB"/>
              </w:rPr>
              <w:t>5,09 kg</w:t>
            </w:r>
          </w:p>
          <w:p w14:paraId="3187448F" w14:textId="6FE07C3D" w:rsidR="00BA0ED8" w:rsidRPr="00BA0ED8" w:rsidRDefault="00BA0ED8" w:rsidP="00075C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sz w:val="18"/>
                <w:szCs w:val="18"/>
              </w:rPr>
            </w:pPr>
            <w:r w:rsidRPr="00BA0ED8">
              <w:rPr>
                <w:rFonts w:eastAsia="Times New Roman" w:cs="Times New Roman"/>
                <w:i/>
                <w:sz w:val="18"/>
                <w:szCs w:val="18"/>
              </w:rPr>
              <w:t>(0,001)</w:t>
            </w:r>
          </w:p>
        </w:tc>
      </w:tr>
      <w:tr w:rsidR="00BA0ED8" w14:paraId="79FB5A92" w14:textId="77777777" w:rsidTr="00BA0ED8">
        <w:tc>
          <w:tcPr>
            <w:cnfStyle w:val="001000000000" w:firstRow="0" w:lastRow="0" w:firstColumn="1" w:lastColumn="0" w:oddVBand="0" w:evenVBand="0" w:oddHBand="0" w:evenHBand="0" w:firstRowFirstColumn="0" w:firstRowLastColumn="0" w:lastRowFirstColumn="0" w:lastRowLastColumn="0"/>
            <w:tcW w:w="837" w:type="dxa"/>
          </w:tcPr>
          <w:p w14:paraId="079FFC6F" w14:textId="088B2F87" w:rsidR="00BA0ED8" w:rsidRPr="00BA0ED8" w:rsidRDefault="00BA0ED8" w:rsidP="00075C22">
            <w:pPr>
              <w:jc w:val="center"/>
              <w:rPr>
                <w:sz w:val="18"/>
                <w:szCs w:val="18"/>
                <w:lang w:val="en-GB"/>
              </w:rPr>
            </w:pPr>
            <w:r w:rsidRPr="00BA0ED8">
              <w:rPr>
                <w:sz w:val="18"/>
                <w:szCs w:val="18"/>
                <w:lang w:val="en-GB"/>
              </w:rPr>
              <w:t>SD</w:t>
            </w:r>
          </w:p>
        </w:tc>
        <w:tc>
          <w:tcPr>
            <w:tcW w:w="1697" w:type="dxa"/>
          </w:tcPr>
          <w:p w14:paraId="4C408537" w14:textId="03CCF35F" w:rsidR="00BA0ED8" w:rsidRPr="00BA0ED8" w:rsidRDefault="003E1FA1" w:rsidP="00075C22">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w:t>
            </w:r>
            <w:r w:rsidR="00BA0ED8" w:rsidRPr="00BA0ED8">
              <w:rPr>
                <w:sz w:val="18"/>
                <w:szCs w:val="18"/>
                <w:lang w:val="en-GB"/>
              </w:rPr>
              <w:t>0,114</w:t>
            </w:r>
          </w:p>
          <w:p w14:paraId="6AA4C377" w14:textId="3F236759" w:rsidR="00BA0ED8" w:rsidRPr="00BA0ED8" w:rsidRDefault="00BA0ED8" w:rsidP="00075C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sz w:val="18"/>
                <w:szCs w:val="18"/>
              </w:rPr>
            </w:pPr>
            <w:r w:rsidRPr="00BA0ED8">
              <w:rPr>
                <w:rFonts w:eastAsia="Times New Roman" w:cs="Times New Roman"/>
                <w:i/>
                <w:sz w:val="18"/>
                <w:szCs w:val="18"/>
              </w:rPr>
              <w:t>(0,120)</w:t>
            </w:r>
          </w:p>
        </w:tc>
        <w:tc>
          <w:tcPr>
            <w:tcW w:w="1697" w:type="dxa"/>
          </w:tcPr>
          <w:p w14:paraId="1947B988" w14:textId="77777777" w:rsidR="00BA0ED8" w:rsidRPr="00BA0ED8" w:rsidRDefault="00BA0ED8" w:rsidP="00075C22">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BA0ED8">
              <w:rPr>
                <w:sz w:val="18"/>
                <w:szCs w:val="18"/>
                <w:lang w:val="en-GB"/>
              </w:rPr>
              <w:t>-0,014</w:t>
            </w:r>
          </w:p>
          <w:p w14:paraId="62773032" w14:textId="508F01DF" w:rsidR="00BA0ED8" w:rsidRPr="00BA0ED8" w:rsidRDefault="00BA0ED8" w:rsidP="00075C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sz w:val="18"/>
                <w:szCs w:val="18"/>
              </w:rPr>
            </w:pPr>
            <w:r w:rsidRPr="00BA0ED8">
              <w:rPr>
                <w:rFonts w:eastAsia="Times New Roman" w:cs="Times New Roman"/>
                <w:i/>
                <w:sz w:val="18"/>
                <w:szCs w:val="18"/>
              </w:rPr>
              <w:t>(0,911)</w:t>
            </w:r>
          </w:p>
        </w:tc>
        <w:tc>
          <w:tcPr>
            <w:tcW w:w="1697" w:type="dxa"/>
          </w:tcPr>
          <w:p w14:paraId="2C0F1F92" w14:textId="77777777" w:rsidR="00BA0ED8" w:rsidRPr="00BA0ED8" w:rsidRDefault="00BA0ED8" w:rsidP="00075C22">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BA0ED8">
              <w:rPr>
                <w:sz w:val="18"/>
                <w:szCs w:val="18"/>
                <w:lang w:val="en-GB"/>
              </w:rPr>
              <w:t>-0,050</w:t>
            </w:r>
          </w:p>
          <w:p w14:paraId="18C14F48" w14:textId="10230F50" w:rsidR="00BA0ED8" w:rsidRPr="00BA0ED8" w:rsidRDefault="00BA0ED8" w:rsidP="00075C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sz w:val="18"/>
                <w:szCs w:val="18"/>
              </w:rPr>
            </w:pPr>
            <w:r w:rsidRPr="00BA0ED8">
              <w:rPr>
                <w:rFonts w:eastAsia="Times New Roman" w:cs="Times New Roman"/>
                <w:i/>
                <w:sz w:val="18"/>
                <w:szCs w:val="18"/>
              </w:rPr>
              <w:t>(0,715)</w:t>
            </w:r>
          </w:p>
        </w:tc>
        <w:tc>
          <w:tcPr>
            <w:tcW w:w="1697" w:type="dxa"/>
          </w:tcPr>
          <w:p w14:paraId="4CE050AE" w14:textId="0968FC5D" w:rsidR="00BA0ED8" w:rsidRPr="00BA0ED8" w:rsidRDefault="003E1FA1" w:rsidP="00075C22">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w:t>
            </w:r>
            <w:r w:rsidR="00BA0ED8" w:rsidRPr="00BA0ED8">
              <w:rPr>
                <w:sz w:val="18"/>
                <w:szCs w:val="18"/>
                <w:lang w:val="en-GB"/>
              </w:rPr>
              <w:t>0,300</w:t>
            </w:r>
          </w:p>
          <w:p w14:paraId="0A270811" w14:textId="25A88418" w:rsidR="00BA0ED8" w:rsidRPr="00BA0ED8" w:rsidRDefault="00BA0ED8" w:rsidP="00075C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sz w:val="18"/>
                <w:szCs w:val="18"/>
              </w:rPr>
            </w:pPr>
            <w:r w:rsidRPr="00BA0ED8">
              <w:rPr>
                <w:rFonts w:eastAsia="Times New Roman" w:cs="Times New Roman"/>
                <w:i/>
                <w:sz w:val="18"/>
                <w:szCs w:val="18"/>
              </w:rPr>
              <w:t>(0,016)</w:t>
            </w:r>
          </w:p>
        </w:tc>
        <w:tc>
          <w:tcPr>
            <w:tcW w:w="1697" w:type="dxa"/>
          </w:tcPr>
          <w:p w14:paraId="5098DD2F" w14:textId="12D655D8" w:rsidR="00BA0ED8" w:rsidRPr="00BA0ED8" w:rsidRDefault="003E1FA1" w:rsidP="00075C22">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w:t>
            </w:r>
            <w:r w:rsidR="00BA0ED8" w:rsidRPr="00BA0ED8">
              <w:rPr>
                <w:sz w:val="18"/>
                <w:szCs w:val="18"/>
                <w:lang w:val="en-GB"/>
              </w:rPr>
              <w:t>0,357</w:t>
            </w:r>
          </w:p>
          <w:p w14:paraId="74BC61A8" w14:textId="5284ED85" w:rsidR="00BA0ED8" w:rsidRPr="00BA0ED8" w:rsidRDefault="00BA0ED8" w:rsidP="00075C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sz w:val="18"/>
                <w:szCs w:val="18"/>
              </w:rPr>
            </w:pPr>
            <w:r w:rsidRPr="00BA0ED8">
              <w:rPr>
                <w:rFonts w:eastAsia="Times New Roman" w:cs="Times New Roman"/>
                <w:i/>
                <w:sz w:val="18"/>
                <w:szCs w:val="18"/>
              </w:rPr>
              <w:t>(0,001)</w:t>
            </w:r>
          </w:p>
        </w:tc>
      </w:tr>
      <w:tr w:rsidR="00BA0ED8" w14:paraId="4876E923" w14:textId="77777777" w:rsidTr="00BA0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7" w:type="dxa"/>
          </w:tcPr>
          <w:p w14:paraId="3ACE8CA6" w14:textId="1D4DD48D" w:rsidR="00BA0ED8" w:rsidRPr="00BA0ED8" w:rsidRDefault="00BA0ED8" w:rsidP="00075C22">
            <w:pPr>
              <w:jc w:val="center"/>
              <w:rPr>
                <w:sz w:val="18"/>
                <w:szCs w:val="18"/>
                <w:lang w:val="en-GB"/>
              </w:rPr>
            </w:pPr>
            <w:r w:rsidRPr="00BA0ED8">
              <w:rPr>
                <w:sz w:val="18"/>
                <w:szCs w:val="18"/>
                <w:lang w:val="en-GB"/>
              </w:rPr>
              <w:t>BMI</w:t>
            </w:r>
          </w:p>
        </w:tc>
        <w:tc>
          <w:tcPr>
            <w:tcW w:w="1697" w:type="dxa"/>
          </w:tcPr>
          <w:p w14:paraId="779D89A6" w14:textId="55A7ADE9" w:rsidR="00BA0ED8" w:rsidRPr="00BA0ED8" w:rsidRDefault="003E1FA1" w:rsidP="00075C22">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w:t>
            </w:r>
            <w:r w:rsidR="00BA0ED8" w:rsidRPr="00BA0ED8">
              <w:rPr>
                <w:sz w:val="18"/>
                <w:szCs w:val="18"/>
                <w:lang w:val="en-GB"/>
              </w:rPr>
              <w:t>0,44 kg/m²</w:t>
            </w:r>
          </w:p>
          <w:p w14:paraId="2DCB680C" w14:textId="0EFF6A4B" w:rsidR="00BA0ED8" w:rsidRPr="00BA0ED8" w:rsidRDefault="00BA0ED8" w:rsidP="00075C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sz w:val="18"/>
                <w:szCs w:val="18"/>
              </w:rPr>
            </w:pPr>
            <w:r w:rsidRPr="00BA0ED8">
              <w:rPr>
                <w:rFonts w:eastAsia="Times New Roman" w:cs="Times New Roman"/>
                <w:i/>
                <w:sz w:val="18"/>
                <w:szCs w:val="18"/>
              </w:rPr>
              <w:t>(0,031)</w:t>
            </w:r>
          </w:p>
        </w:tc>
        <w:tc>
          <w:tcPr>
            <w:tcW w:w="1697" w:type="dxa"/>
          </w:tcPr>
          <w:p w14:paraId="66C166C2" w14:textId="69BA82E6" w:rsidR="00BA0ED8" w:rsidRPr="00BA0ED8" w:rsidRDefault="003E1FA1" w:rsidP="00075C22">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w:t>
            </w:r>
            <w:r w:rsidR="00BA0ED8" w:rsidRPr="00BA0ED8">
              <w:rPr>
                <w:sz w:val="18"/>
                <w:szCs w:val="18"/>
                <w:lang w:val="en-GB"/>
              </w:rPr>
              <w:t>0,50 kg/m²</w:t>
            </w:r>
          </w:p>
          <w:p w14:paraId="52FABE0C" w14:textId="1AA27DD0" w:rsidR="00BA0ED8" w:rsidRPr="00BA0ED8" w:rsidRDefault="00BA0ED8" w:rsidP="00075C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sz w:val="18"/>
                <w:szCs w:val="18"/>
              </w:rPr>
            </w:pPr>
            <w:r w:rsidRPr="00BA0ED8">
              <w:rPr>
                <w:rFonts w:eastAsia="Times New Roman" w:cs="Times New Roman"/>
                <w:i/>
                <w:sz w:val="18"/>
                <w:szCs w:val="18"/>
              </w:rPr>
              <w:t>(0,193)</w:t>
            </w:r>
          </w:p>
        </w:tc>
        <w:tc>
          <w:tcPr>
            <w:tcW w:w="1697" w:type="dxa"/>
          </w:tcPr>
          <w:p w14:paraId="6803571B" w14:textId="5292258F" w:rsidR="00BA0ED8" w:rsidRPr="00BA0ED8" w:rsidRDefault="003E1FA1" w:rsidP="00075C22">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w:t>
            </w:r>
            <w:r w:rsidR="00BA0ED8" w:rsidRPr="00BA0ED8">
              <w:rPr>
                <w:sz w:val="18"/>
                <w:szCs w:val="18"/>
                <w:lang w:val="en-GB"/>
              </w:rPr>
              <w:t>0,04 kg/m²</w:t>
            </w:r>
          </w:p>
          <w:p w14:paraId="221BFE9E" w14:textId="76139335" w:rsidR="00BA0ED8" w:rsidRPr="00BA0ED8" w:rsidRDefault="00BA0ED8" w:rsidP="00075C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sz w:val="18"/>
                <w:szCs w:val="18"/>
              </w:rPr>
            </w:pPr>
            <w:r w:rsidRPr="00BA0ED8">
              <w:rPr>
                <w:rFonts w:eastAsia="Times New Roman" w:cs="Times New Roman"/>
                <w:i/>
                <w:sz w:val="18"/>
                <w:szCs w:val="18"/>
              </w:rPr>
              <w:t>(0,326)</w:t>
            </w:r>
          </w:p>
        </w:tc>
        <w:tc>
          <w:tcPr>
            <w:tcW w:w="1697" w:type="dxa"/>
          </w:tcPr>
          <w:p w14:paraId="7D52676D" w14:textId="23DAFCCF" w:rsidR="00BA0ED8" w:rsidRPr="00BA0ED8" w:rsidRDefault="003E1FA1" w:rsidP="00075C22">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w:t>
            </w:r>
            <w:r w:rsidR="00BA0ED8" w:rsidRPr="00BA0ED8">
              <w:rPr>
                <w:sz w:val="18"/>
                <w:szCs w:val="18"/>
                <w:lang w:val="en-GB"/>
              </w:rPr>
              <w:t>1,24 kg/m²</w:t>
            </w:r>
          </w:p>
          <w:p w14:paraId="53E61CDF" w14:textId="3D839E08" w:rsidR="00BA0ED8" w:rsidRPr="00BA0ED8" w:rsidRDefault="00BA0ED8" w:rsidP="00075C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sz w:val="18"/>
                <w:szCs w:val="18"/>
              </w:rPr>
            </w:pPr>
            <w:r w:rsidRPr="00BA0ED8">
              <w:rPr>
                <w:rFonts w:eastAsia="Times New Roman" w:cs="Times New Roman"/>
                <w:i/>
                <w:sz w:val="18"/>
                <w:szCs w:val="18"/>
              </w:rPr>
              <w:t>(0,003)</w:t>
            </w:r>
          </w:p>
        </w:tc>
        <w:tc>
          <w:tcPr>
            <w:tcW w:w="1697" w:type="dxa"/>
          </w:tcPr>
          <w:p w14:paraId="59081633" w14:textId="3F00E16E" w:rsidR="00BA0ED8" w:rsidRPr="00BA0ED8" w:rsidRDefault="003E1FA1" w:rsidP="00075C22">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w:t>
            </w:r>
            <w:r w:rsidR="00BA0ED8" w:rsidRPr="00BA0ED8">
              <w:rPr>
                <w:sz w:val="18"/>
                <w:szCs w:val="18"/>
                <w:lang w:val="en-GB"/>
              </w:rPr>
              <w:t>1,92 kg/m²</w:t>
            </w:r>
          </w:p>
          <w:p w14:paraId="00BF5D9C" w14:textId="167D1E82" w:rsidR="00BA0ED8" w:rsidRPr="00BA0ED8" w:rsidRDefault="00BA0ED8" w:rsidP="00075C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sz w:val="18"/>
                <w:szCs w:val="18"/>
              </w:rPr>
            </w:pPr>
            <w:r w:rsidRPr="00BA0ED8">
              <w:rPr>
                <w:rFonts w:eastAsia="Times New Roman" w:cs="Times New Roman"/>
                <w:i/>
                <w:sz w:val="18"/>
                <w:szCs w:val="18"/>
              </w:rPr>
              <w:t>(0,004)</w:t>
            </w:r>
          </w:p>
        </w:tc>
      </w:tr>
      <w:tr w:rsidR="00BA0ED8" w14:paraId="24D9CC56" w14:textId="77777777" w:rsidTr="00BA0ED8">
        <w:tc>
          <w:tcPr>
            <w:cnfStyle w:val="001000000000" w:firstRow="0" w:lastRow="0" w:firstColumn="1" w:lastColumn="0" w:oddVBand="0" w:evenVBand="0" w:oddHBand="0" w:evenHBand="0" w:firstRowFirstColumn="0" w:firstRowLastColumn="0" w:lastRowFirstColumn="0" w:lastRowLastColumn="0"/>
            <w:tcW w:w="837" w:type="dxa"/>
          </w:tcPr>
          <w:p w14:paraId="14DAB7CA" w14:textId="50BD5E52" w:rsidR="00BA0ED8" w:rsidRPr="00BA0ED8" w:rsidRDefault="00BA0ED8" w:rsidP="00075C22">
            <w:pPr>
              <w:jc w:val="center"/>
              <w:rPr>
                <w:sz w:val="18"/>
                <w:szCs w:val="18"/>
                <w:lang w:val="en-GB"/>
              </w:rPr>
            </w:pPr>
            <w:r w:rsidRPr="00BA0ED8">
              <w:rPr>
                <w:sz w:val="18"/>
                <w:szCs w:val="18"/>
                <w:lang w:val="en-GB"/>
              </w:rPr>
              <w:t>SD</w:t>
            </w:r>
          </w:p>
        </w:tc>
        <w:tc>
          <w:tcPr>
            <w:tcW w:w="1697" w:type="dxa"/>
          </w:tcPr>
          <w:p w14:paraId="5CF622F0" w14:textId="05935FB8" w:rsidR="00BA0ED8" w:rsidRPr="00BA0ED8" w:rsidRDefault="003E1FA1" w:rsidP="00075C22">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w:t>
            </w:r>
            <w:r w:rsidR="00BA0ED8" w:rsidRPr="00BA0ED8">
              <w:rPr>
                <w:sz w:val="18"/>
                <w:szCs w:val="18"/>
                <w:lang w:val="en-GB"/>
              </w:rPr>
              <w:t>0,141</w:t>
            </w:r>
          </w:p>
          <w:p w14:paraId="3D012A00" w14:textId="226D7A36" w:rsidR="00BA0ED8" w:rsidRPr="00BA0ED8" w:rsidRDefault="00BA0ED8" w:rsidP="00075C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sz w:val="18"/>
                <w:szCs w:val="18"/>
              </w:rPr>
            </w:pPr>
            <w:r w:rsidRPr="00BA0ED8">
              <w:rPr>
                <w:rFonts w:eastAsia="Times New Roman" w:cs="Times New Roman"/>
                <w:i/>
                <w:sz w:val="18"/>
                <w:szCs w:val="18"/>
              </w:rPr>
              <w:t>(0,098)</w:t>
            </w:r>
          </w:p>
        </w:tc>
        <w:tc>
          <w:tcPr>
            <w:tcW w:w="1697" w:type="dxa"/>
          </w:tcPr>
          <w:p w14:paraId="2438D62F" w14:textId="3E3227F6" w:rsidR="00BA0ED8" w:rsidRPr="00BA0ED8" w:rsidRDefault="003E1FA1" w:rsidP="00075C22">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w:t>
            </w:r>
            <w:r w:rsidR="00BA0ED8" w:rsidRPr="00BA0ED8">
              <w:rPr>
                <w:sz w:val="18"/>
                <w:szCs w:val="18"/>
                <w:lang w:val="en-GB"/>
              </w:rPr>
              <w:t>0,053</w:t>
            </w:r>
          </w:p>
          <w:p w14:paraId="6C28593C" w14:textId="078569CF" w:rsidR="00BA0ED8" w:rsidRPr="00BA0ED8" w:rsidRDefault="00BA0ED8" w:rsidP="00075C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sz w:val="18"/>
                <w:szCs w:val="18"/>
              </w:rPr>
            </w:pPr>
            <w:r w:rsidRPr="00BA0ED8">
              <w:rPr>
                <w:rFonts w:eastAsia="Times New Roman" w:cs="Times New Roman"/>
                <w:i/>
                <w:sz w:val="18"/>
                <w:szCs w:val="18"/>
              </w:rPr>
              <w:t>(0,719)</w:t>
            </w:r>
          </w:p>
        </w:tc>
        <w:tc>
          <w:tcPr>
            <w:tcW w:w="1697" w:type="dxa"/>
          </w:tcPr>
          <w:p w14:paraId="309DABC3" w14:textId="385FBD97" w:rsidR="00BA0ED8" w:rsidRPr="00BA0ED8" w:rsidRDefault="003E1FA1" w:rsidP="00075C22">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w:t>
            </w:r>
            <w:r w:rsidR="00BA0ED8" w:rsidRPr="00BA0ED8">
              <w:rPr>
                <w:sz w:val="18"/>
                <w:szCs w:val="18"/>
                <w:lang w:val="en-GB"/>
              </w:rPr>
              <w:t>0,067</w:t>
            </w:r>
          </w:p>
          <w:p w14:paraId="51DBFBDA" w14:textId="3A2B77BF" w:rsidR="00BA0ED8" w:rsidRPr="00BA0ED8" w:rsidRDefault="00BA0ED8" w:rsidP="00075C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sz w:val="18"/>
                <w:szCs w:val="18"/>
              </w:rPr>
            </w:pPr>
            <w:r w:rsidRPr="00BA0ED8">
              <w:rPr>
                <w:rFonts w:eastAsia="Times New Roman" w:cs="Times New Roman"/>
                <w:i/>
                <w:sz w:val="18"/>
                <w:szCs w:val="18"/>
              </w:rPr>
              <w:t>(0,681)</w:t>
            </w:r>
          </w:p>
        </w:tc>
        <w:tc>
          <w:tcPr>
            <w:tcW w:w="1697" w:type="dxa"/>
          </w:tcPr>
          <w:p w14:paraId="4C0F2002" w14:textId="2FC4A6DF" w:rsidR="00BA0ED8" w:rsidRPr="00BA0ED8" w:rsidRDefault="003E1FA1" w:rsidP="00075C22">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w:t>
            </w:r>
            <w:r w:rsidR="00BA0ED8" w:rsidRPr="00BA0ED8">
              <w:rPr>
                <w:sz w:val="18"/>
                <w:szCs w:val="18"/>
                <w:lang w:val="en-GB"/>
              </w:rPr>
              <w:t>0,400</w:t>
            </w:r>
          </w:p>
          <w:p w14:paraId="2DE9BFA0" w14:textId="39E973E0" w:rsidR="00BA0ED8" w:rsidRPr="00BA0ED8" w:rsidRDefault="00BA0ED8" w:rsidP="00075C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sz w:val="18"/>
                <w:szCs w:val="18"/>
              </w:rPr>
            </w:pPr>
            <w:r w:rsidRPr="00BA0ED8">
              <w:rPr>
                <w:rFonts w:eastAsia="Times New Roman" w:cs="Times New Roman"/>
                <w:i/>
                <w:sz w:val="18"/>
                <w:szCs w:val="18"/>
              </w:rPr>
              <w:t>(0,011)</w:t>
            </w:r>
          </w:p>
        </w:tc>
        <w:tc>
          <w:tcPr>
            <w:tcW w:w="1697" w:type="dxa"/>
          </w:tcPr>
          <w:p w14:paraId="57F6C020" w14:textId="6FE7310A" w:rsidR="00BA0ED8" w:rsidRPr="00BA0ED8" w:rsidRDefault="003E1FA1" w:rsidP="00075C22">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w:t>
            </w:r>
            <w:r w:rsidR="00BA0ED8" w:rsidRPr="00BA0ED8">
              <w:rPr>
                <w:sz w:val="18"/>
                <w:szCs w:val="18"/>
                <w:lang w:val="en-GB"/>
              </w:rPr>
              <w:t>0,480</w:t>
            </w:r>
          </w:p>
          <w:p w14:paraId="0D8E3D7E" w14:textId="52927747" w:rsidR="00BA0ED8" w:rsidRPr="00BA0ED8" w:rsidRDefault="00BA0ED8" w:rsidP="00075C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sz w:val="18"/>
                <w:szCs w:val="18"/>
              </w:rPr>
            </w:pPr>
            <w:r w:rsidRPr="00BA0ED8">
              <w:rPr>
                <w:rFonts w:eastAsia="Times New Roman" w:cs="Times New Roman"/>
                <w:i/>
                <w:sz w:val="18"/>
                <w:szCs w:val="18"/>
              </w:rPr>
              <w:t>(0,004)</w:t>
            </w:r>
          </w:p>
        </w:tc>
      </w:tr>
    </w:tbl>
    <w:p w14:paraId="7CA7CB14" w14:textId="42DFEC36" w:rsidR="00CE715D" w:rsidRDefault="00305EB0" w:rsidP="00BF0E1C">
      <w:pPr>
        <w:spacing w:after="0"/>
        <w:jc w:val="both"/>
        <w:rPr>
          <w:sz w:val="18"/>
          <w:szCs w:val="18"/>
          <w:lang w:val="en-GB"/>
        </w:rPr>
      </w:pPr>
      <w:r>
        <w:rPr>
          <w:sz w:val="18"/>
          <w:szCs w:val="18"/>
          <w:lang w:val="en-GB"/>
        </w:rPr>
        <w:t xml:space="preserve">L: </w:t>
      </w:r>
      <w:r w:rsidR="003A6EF4">
        <w:rPr>
          <w:sz w:val="18"/>
          <w:szCs w:val="18"/>
          <w:lang w:val="en-GB"/>
        </w:rPr>
        <w:t>6</w:t>
      </w:r>
      <w:r>
        <w:rPr>
          <w:sz w:val="18"/>
          <w:szCs w:val="18"/>
          <w:lang w:val="en-GB"/>
        </w:rPr>
        <w:t xml:space="preserve"> </w:t>
      </w:r>
      <w:r w:rsidR="003A6EF4">
        <w:rPr>
          <w:sz w:val="18"/>
          <w:szCs w:val="18"/>
          <w:lang w:val="en-GB"/>
        </w:rPr>
        <w:t>m</w:t>
      </w:r>
      <w:r>
        <w:rPr>
          <w:sz w:val="18"/>
          <w:szCs w:val="18"/>
          <w:lang w:val="en-GB"/>
        </w:rPr>
        <w:t>onths</w:t>
      </w:r>
      <w:r w:rsidR="00CE715D" w:rsidRPr="0088711A">
        <w:rPr>
          <w:sz w:val="18"/>
          <w:szCs w:val="18"/>
          <w:lang w:val="en-GB"/>
        </w:rPr>
        <w:t xml:space="preserve">: mean </w:t>
      </w:r>
      <w:r w:rsidR="003A6EF4">
        <w:rPr>
          <w:sz w:val="18"/>
          <w:szCs w:val="18"/>
          <w:lang w:val="en-GB"/>
        </w:rPr>
        <w:t>difference after 6 months of L</w:t>
      </w:r>
      <w:r w:rsidR="002E1120">
        <w:rPr>
          <w:sz w:val="18"/>
          <w:szCs w:val="18"/>
          <w:lang w:val="en-GB"/>
        </w:rPr>
        <w:t xml:space="preserve"> </w:t>
      </w:r>
      <w:r w:rsidR="009F4A32">
        <w:rPr>
          <w:sz w:val="18"/>
          <w:szCs w:val="18"/>
          <w:lang w:val="en-GB"/>
        </w:rPr>
        <w:t>(compared with start of L)</w:t>
      </w:r>
      <w:r w:rsidR="00CE715D" w:rsidRPr="009D2539">
        <w:rPr>
          <w:sz w:val="18"/>
          <w:szCs w:val="18"/>
          <w:lang w:val="en-GB"/>
        </w:rPr>
        <w:t>; L</w:t>
      </w:r>
      <w:r>
        <w:rPr>
          <w:sz w:val="18"/>
          <w:szCs w:val="18"/>
          <w:lang w:val="en-GB"/>
        </w:rPr>
        <w:t xml:space="preserve">: </w:t>
      </w:r>
      <w:r w:rsidR="003A6EF4">
        <w:rPr>
          <w:sz w:val="18"/>
          <w:szCs w:val="18"/>
          <w:lang w:val="en-GB"/>
        </w:rPr>
        <w:t>12</w:t>
      </w:r>
      <w:r>
        <w:rPr>
          <w:sz w:val="18"/>
          <w:szCs w:val="18"/>
          <w:lang w:val="en-GB"/>
        </w:rPr>
        <w:t xml:space="preserve"> </w:t>
      </w:r>
      <w:r w:rsidR="00CE715D" w:rsidRPr="009D2539">
        <w:rPr>
          <w:sz w:val="18"/>
          <w:szCs w:val="18"/>
          <w:lang w:val="en-GB"/>
        </w:rPr>
        <w:t>m</w:t>
      </w:r>
      <w:r>
        <w:rPr>
          <w:sz w:val="18"/>
          <w:szCs w:val="18"/>
          <w:lang w:val="en-GB"/>
        </w:rPr>
        <w:t>onths</w:t>
      </w:r>
      <w:r w:rsidR="00CE715D" w:rsidRPr="009D2539">
        <w:rPr>
          <w:sz w:val="18"/>
          <w:szCs w:val="18"/>
          <w:lang w:val="en-GB"/>
        </w:rPr>
        <w:t xml:space="preserve">: </w:t>
      </w:r>
      <w:r w:rsidR="00CE715D">
        <w:rPr>
          <w:sz w:val="18"/>
          <w:szCs w:val="18"/>
          <w:lang w:val="en-GB"/>
        </w:rPr>
        <w:t>mean</w:t>
      </w:r>
      <w:r w:rsidR="00CE715D" w:rsidRPr="009D2539">
        <w:rPr>
          <w:sz w:val="18"/>
          <w:szCs w:val="18"/>
          <w:lang w:val="en-GB"/>
        </w:rPr>
        <w:t xml:space="preserve"> </w:t>
      </w:r>
      <w:r w:rsidR="003A6EF4">
        <w:rPr>
          <w:sz w:val="18"/>
          <w:szCs w:val="18"/>
          <w:lang w:val="en-GB"/>
        </w:rPr>
        <w:t>difference after 12 months of L</w:t>
      </w:r>
      <w:r w:rsidR="009F4A32">
        <w:rPr>
          <w:sz w:val="18"/>
          <w:szCs w:val="18"/>
          <w:lang w:val="en-GB"/>
        </w:rPr>
        <w:t xml:space="preserve"> (compared with start of L)</w:t>
      </w:r>
      <w:r w:rsidR="00CE715D" w:rsidRPr="009D2539">
        <w:rPr>
          <w:sz w:val="18"/>
          <w:szCs w:val="18"/>
          <w:lang w:val="en-GB"/>
        </w:rPr>
        <w:t xml:space="preserve">; </w:t>
      </w:r>
      <w:r w:rsidR="00BC0700">
        <w:rPr>
          <w:sz w:val="18"/>
          <w:szCs w:val="18"/>
          <w:lang w:val="en-GB"/>
        </w:rPr>
        <w:t>L</w:t>
      </w:r>
      <w:r>
        <w:rPr>
          <w:sz w:val="18"/>
          <w:szCs w:val="18"/>
          <w:lang w:val="en-GB"/>
        </w:rPr>
        <w:t xml:space="preserve">: </w:t>
      </w:r>
      <w:r w:rsidR="00BC0700">
        <w:rPr>
          <w:sz w:val="18"/>
          <w:szCs w:val="18"/>
          <w:lang w:val="en-GB"/>
        </w:rPr>
        <w:t xml:space="preserve">L+TE: mean difference </w:t>
      </w:r>
      <w:r>
        <w:rPr>
          <w:sz w:val="18"/>
          <w:szCs w:val="18"/>
          <w:lang w:val="en-GB"/>
        </w:rPr>
        <w:t>during entire</w:t>
      </w:r>
      <w:r w:rsidR="00BC0700">
        <w:rPr>
          <w:sz w:val="18"/>
          <w:szCs w:val="18"/>
          <w:lang w:val="en-GB"/>
        </w:rPr>
        <w:t xml:space="preserve"> monotherapy with L; L+TE</w:t>
      </w:r>
      <w:r>
        <w:rPr>
          <w:sz w:val="18"/>
          <w:szCs w:val="18"/>
          <w:lang w:val="en-GB"/>
        </w:rPr>
        <w:t xml:space="preserve">: </w:t>
      </w:r>
      <w:r w:rsidR="00BC0700">
        <w:rPr>
          <w:sz w:val="18"/>
          <w:szCs w:val="18"/>
          <w:lang w:val="en-GB"/>
        </w:rPr>
        <w:t>6</w:t>
      </w:r>
      <w:r>
        <w:rPr>
          <w:sz w:val="18"/>
          <w:szCs w:val="18"/>
          <w:lang w:val="en-GB"/>
        </w:rPr>
        <w:t xml:space="preserve"> </w:t>
      </w:r>
      <w:r w:rsidR="00BC0700">
        <w:rPr>
          <w:sz w:val="18"/>
          <w:szCs w:val="18"/>
          <w:lang w:val="en-GB"/>
        </w:rPr>
        <w:t>m</w:t>
      </w:r>
      <w:r>
        <w:rPr>
          <w:sz w:val="18"/>
          <w:szCs w:val="18"/>
          <w:lang w:val="en-GB"/>
        </w:rPr>
        <w:t>onths</w:t>
      </w:r>
      <w:r w:rsidR="00BC0700">
        <w:rPr>
          <w:sz w:val="18"/>
          <w:szCs w:val="18"/>
          <w:lang w:val="en-GB"/>
        </w:rPr>
        <w:t>: mean difference after 6 months of L+T</w:t>
      </w:r>
      <w:r>
        <w:rPr>
          <w:sz w:val="18"/>
          <w:szCs w:val="18"/>
          <w:lang w:val="en-GB"/>
        </w:rPr>
        <w:t>E</w:t>
      </w:r>
      <w:r w:rsidR="009F4A32">
        <w:rPr>
          <w:sz w:val="18"/>
          <w:szCs w:val="18"/>
          <w:lang w:val="en-GB"/>
        </w:rPr>
        <w:t xml:space="preserve"> (compared with start of L+TE)</w:t>
      </w:r>
      <w:r w:rsidR="00BC0700">
        <w:rPr>
          <w:sz w:val="18"/>
          <w:szCs w:val="18"/>
          <w:lang w:val="en-GB"/>
        </w:rPr>
        <w:t>; L+TE</w:t>
      </w:r>
      <w:r>
        <w:rPr>
          <w:sz w:val="18"/>
          <w:szCs w:val="18"/>
          <w:lang w:val="en-GB"/>
        </w:rPr>
        <w:t xml:space="preserve">: </w:t>
      </w:r>
      <w:r w:rsidR="00BC0700">
        <w:rPr>
          <w:sz w:val="18"/>
          <w:szCs w:val="18"/>
          <w:lang w:val="en-GB"/>
        </w:rPr>
        <w:t>12</w:t>
      </w:r>
      <w:r>
        <w:rPr>
          <w:sz w:val="18"/>
          <w:szCs w:val="18"/>
          <w:lang w:val="en-GB"/>
        </w:rPr>
        <w:t xml:space="preserve"> </w:t>
      </w:r>
      <w:r w:rsidR="00BC0700">
        <w:rPr>
          <w:sz w:val="18"/>
          <w:szCs w:val="18"/>
          <w:lang w:val="en-GB"/>
        </w:rPr>
        <w:t>m</w:t>
      </w:r>
      <w:r>
        <w:rPr>
          <w:sz w:val="18"/>
          <w:szCs w:val="18"/>
          <w:lang w:val="en-GB"/>
        </w:rPr>
        <w:t>onths</w:t>
      </w:r>
      <w:r w:rsidR="00BC0700">
        <w:rPr>
          <w:sz w:val="18"/>
          <w:szCs w:val="18"/>
          <w:lang w:val="en-GB"/>
        </w:rPr>
        <w:t>: mean difference after 12 months of L+T</w:t>
      </w:r>
      <w:r>
        <w:rPr>
          <w:sz w:val="18"/>
          <w:szCs w:val="18"/>
          <w:lang w:val="en-GB"/>
        </w:rPr>
        <w:t>E</w:t>
      </w:r>
      <w:r w:rsidR="002E1120">
        <w:rPr>
          <w:sz w:val="18"/>
          <w:szCs w:val="18"/>
          <w:lang w:val="en-GB"/>
        </w:rPr>
        <w:t xml:space="preserve"> (</w:t>
      </w:r>
      <w:r w:rsidR="009F4A32">
        <w:rPr>
          <w:sz w:val="18"/>
          <w:szCs w:val="18"/>
          <w:lang w:val="en-GB"/>
        </w:rPr>
        <w:t>compared with start of L+TE)</w:t>
      </w:r>
      <w:r w:rsidR="00BC0700">
        <w:rPr>
          <w:sz w:val="18"/>
          <w:szCs w:val="18"/>
          <w:lang w:val="en-GB"/>
        </w:rPr>
        <w:t>; P-value: result of statistical tests</w:t>
      </w:r>
      <w:r w:rsidR="00075C22">
        <w:rPr>
          <w:sz w:val="18"/>
          <w:szCs w:val="18"/>
          <w:lang w:val="en-GB"/>
        </w:rPr>
        <w:t>; Weight: difference expressed in kg; BMI: difference in kg/m².</w:t>
      </w:r>
      <w:r w:rsidR="00C56E91">
        <w:rPr>
          <w:sz w:val="18"/>
          <w:szCs w:val="18"/>
          <w:lang w:val="en-GB"/>
        </w:rPr>
        <w:t xml:space="preserve"> </w:t>
      </w:r>
      <w:r w:rsidR="00BC0700" w:rsidRPr="009D2539">
        <w:rPr>
          <w:sz w:val="18"/>
          <w:szCs w:val="18"/>
          <w:lang w:val="en-GB"/>
        </w:rPr>
        <w:t xml:space="preserve">SD: standard deviation in </w:t>
      </w:r>
      <w:r w:rsidR="00BC0700" w:rsidRPr="0088711A">
        <w:rPr>
          <w:sz w:val="18"/>
          <w:szCs w:val="18"/>
          <w:lang w:val="en-GB"/>
        </w:rPr>
        <w:t>comparison with Flemish peers</w:t>
      </w:r>
      <w:r w:rsidR="00BC0700">
        <w:rPr>
          <w:sz w:val="18"/>
          <w:szCs w:val="18"/>
          <w:lang w:val="en-GB"/>
        </w:rPr>
        <w:t xml:space="preserve"> </w:t>
      </w:r>
      <w:r w:rsidR="00BC0700">
        <w:rPr>
          <w:sz w:val="18"/>
          <w:szCs w:val="18"/>
          <w:lang w:val="en-GB"/>
        </w:rPr>
        <w:fldChar w:fldCharType="begin" w:fldLock="1"/>
      </w:r>
      <w:r w:rsidR="002C52CA">
        <w:rPr>
          <w:sz w:val="18"/>
          <w:szCs w:val="18"/>
          <w:lang w:val="en-GB"/>
        </w:rPr>
        <w:instrText>ADDIN CSL_CITATION { "citationItems" : [ { "id" : "ITEM-1", "itemData" : { "DOI" : "10.3109/03014460903049074", "ISSN" : "1464-5033", "PMID" : "19919503", "abstract" : "BACKGROUND: Due to the secular trend in length and height, growth references need to be updated regularly. Reference charts that were until recently used in Belgium are based on samples collected more than 30 years ago, and references for body mass index (BMI) and pubertal development have not been established before.\n\nAIMS: To establish contemporary cross-sectional reference charts for height, weight, BMI, head circumference, and pubertal development from birth to 21 years of age, based on a representative sample of children from Flanders, Belgium.\n\nSUBJECTS AND METHODS: 15 989 healthy subjects of Belgian origin, 0-25 years of age, were measured in 2002-2004. Growth curves were fitted with the LMS method, and percentiles for the pubertal development were estimated with generalized additive models on status quo data from 8690 subjects aged 6-22 years of age.\n\nRESULTS: A positive secular trend in height and weight is observed in children above 5 years of age. Adult median height has increased by 1.2 cm/decade in boys and 0.8 cm/decade in girls; median weight by 0.9 kg/decade in boys, and 1.0 kg/decade in girls, and the weight distribution became more skewed. The BMI curve is comparable to that of other populations, except for higher percentiles. This reflects the increasing prevalence of overweight and obesity. Median age at menarche (13.0 years) has not advanced any more over the past 50 years. Median ages at menarche and B2 in girls and G2 or T4 in boys are comparable to other West European estimates, but approximately 10% enter G2/T4 before 9 years of age.\n\nCONCLUSIONS: The ongoing secular trend in height and weight makes growth charts previously used in Belgium obsolete. New representative charts for growth and pubertal development are introduced. For weight monitoring, it is advised that the now-available BMI growth charts are used.", "author" : [ { "dropping-particle" : "", "family" : "Roelants", "given" : "M", "non-dropping-particle" : "", "parse-names" : false, "suffix" : "" }, { "dropping-particle" : "", "family" : "Hauspie", "given" : "R", "non-dropping-particle" : "", "parse-names" : false, "suffix" : "" }, { "dropping-particle" : "", "family" : "Hoppenbrouwers", "given" : "K", "non-dropping-particle" : "", "parse-names" : false, "suffix" : "" } ], "container-title" : "Annals of human biology", "id" : "ITEM-1", "issue" : "6", "issued" : { "date-parts" : [ [ "0", "1" ] ] }, "page" : "680-94", "title" : "References for growth and pubertal development from birth to 21 years in Flanders, Belgium.", "type" : "article-journal", "volume" : "36" }, "uris" : [ "http://www.mendeley.com/documents/?uuid=1c401ea5-4197-4d59-8618-56bb78477688" ] } ], "mendeley" : { "formattedCitation" : "(55)", "plainTextFormattedCitation" : "(55)", "previouslyFormattedCitation" : "(55)" }, "properties" : { "noteIndex" : 0 }, "schema" : "https://github.com/citation-style-language/schema/raw/master/csl-citation.json" }</w:instrText>
      </w:r>
      <w:r w:rsidR="00BC0700">
        <w:rPr>
          <w:sz w:val="18"/>
          <w:szCs w:val="18"/>
          <w:lang w:val="en-GB"/>
        </w:rPr>
        <w:fldChar w:fldCharType="separate"/>
      </w:r>
      <w:r w:rsidR="00C7364E" w:rsidRPr="00C7364E">
        <w:rPr>
          <w:noProof/>
          <w:sz w:val="18"/>
          <w:szCs w:val="18"/>
          <w:lang w:val="en-GB"/>
        </w:rPr>
        <w:t>(55)</w:t>
      </w:r>
      <w:r w:rsidR="00BC0700">
        <w:rPr>
          <w:sz w:val="18"/>
          <w:szCs w:val="18"/>
          <w:lang w:val="en-GB"/>
        </w:rPr>
        <w:fldChar w:fldCharType="end"/>
      </w:r>
      <w:r w:rsidR="00BC0700">
        <w:rPr>
          <w:sz w:val="18"/>
          <w:szCs w:val="18"/>
          <w:lang w:val="en-GB"/>
        </w:rPr>
        <w:t xml:space="preserve">; </w:t>
      </w:r>
      <w:r w:rsidR="00CE715D">
        <w:rPr>
          <w:sz w:val="18"/>
          <w:szCs w:val="18"/>
          <w:lang w:val="en-GB"/>
        </w:rPr>
        <w:t>L: lynestrenol monotherapy; L+T</w:t>
      </w:r>
      <w:r w:rsidR="0087586D">
        <w:rPr>
          <w:sz w:val="18"/>
          <w:szCs w:val="18"/>
          <w:lang w:val="en-GB"/>
        </w:rPr>
        <w:t>E</w:t>
      </w:r>
      <w:r w:rsidR="00CE715D">
        <w:rPr>
          <w:sz w:val="18"/>
          <w:szCs w:val="18"/>
          <w:lang w:val="en-GB"/>
        </w:rPr>
        <w:t>: lynestrenol and testosterone esters combination therapy.</w:t>
      </w:r>
    </w:p>
    <w:p w14:paraId="23655EF6" w14:textId="48690E3E" w:rsidR="00BF0E1C" w:rsidRDefault="00BF0E1C" w:rsidP="00D74007">
      <w:pPr>
        <w:spacing w:after="0"/>
        <w:rPr>
          <w:sz w:val="18"/>
          <w:szCs w:val="18"/>
          <w:lang w:val="en-GB"/>
        </w:rPr>
      </w:pPr>
    </w:p>
    <w:p w14:paraId="01542AEE" w14:textId="545811E4" w:rsidR="00BF0E1C" w:rsidRDefault="00BF0E1C" w:rsidP="00D74007">
      <w:pPr>
        <w:spacing w:after="0"/>
        <w:rPr>
          <w:sz w:val="18"/>
          <w:szCs w:val="18"/>
          <w:lang w:val="en-GB"/>
        </w:rPr>
      </w:pPr>
      <w:r>
        <w:rPr>
          <w:rFonts w:ascii="Times New Roman" w:hAnsi="Times New Roman" w:cs="Times New Roman"/>
          <w:noProof/>
          <w:sz w:val="24"/>
          <w:szCs w:val="24"/>
        </w:rPr>
        <w:drawing>
          <wp:inline distT="0" distB="0" distL="0" distR="0" wp14:anchorId="7292D2FF" wp14:editId="7C2DD60B">
            <wp:extent cx="2735999" cy="2520000"/>
            <wp:effectExtent l="0" t="0" r="762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5999" cy="2520000"/>
                    </a:xfrm>
                    <a:prstGeom prst="rect">
                      <a:avLst/>
                    </a:prstGeom>
                    <a:noFill/>
                    <a:ln>
                      <a:noFill/>
                    </a:ln>
                  </pic:spPr>
                </pic:pic>
              </a:graphicData>
            </a:graphic>
          </wp:inline>
        </w:drawing>
      </w:r>
      <w:r w:rsidR="001C03BC">
        <w:rPr>
          <w:rFonts w:ascii="Times New Roman" w:hAnsi="Times New Roman" w:cs="Times New Roman"/>
          <w:noProof/>
          <w:sz w:val="24"/>
          <w:szCs w:val="24"/>
        </w:rPr>
        <w:drawing>
          <wp:inline distT="0" distB="0" distL="0" distR="0" wp14:anchorId="6533338C" wp14:editId="51B34C31">
            <wp:extent cx="2917384" cy="25200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7384" cy="2520000"/>
                    </a:xfrm>
                    <a:prstGeom prst="rect">
                      <a:avLst/>
                    </a:prstGeom>
                    <a:noFill/>
                    <a:ln>
                      <a:noFill/>
                    </a:ln>
                  </pic:spPr>
                </pic:pic>
              </a:graphicData>
            </a:graphic>
          </wp:inline>
        </w:drawing>
      </w:r>
    </w:p>
    <w:p w14:paraId="10AF7E69" w14:textId="66003158" w:rsidR="00BF0E1C" w:rsidRPr="00BF0E1C" w:rsidRDefault="00624AB0" w:rsidP="00BF0E1C">
      <w:pPr>
        <w:spacing w:after="0"/>
        <w:jc w:val="both"/>
        <w:rPr>
          <w:b/>
          <w:sz w:val="18"/>
          <w:szCs w:val="18"/>
          <w:lang w:val="en-GB"/>
        </w:rPr>
      </w:pPr>
      <w:r>
        <w:rPr>
          <w:b/>
          <w:sz w:val="18"/>
          <w:szCs w:val="18"/>
          <w:lang w:val="en-GB"/>
        </w:rPr>
        <w:t>Figure 3</w:t>
      </w:r>
      <w:r w:rsidR="00BF0E1C" w:rsidRPr="00BF0E1C">
        <w:rPr>
          <w:b/>
          <w:sz w:val="18"/>
          <w:szCs w:val="18"/>
          <w:lang w:val="en-GB"/>
        </w:rPr>
        <w:t>.</w:t>
      </w:r>
      <w:r w:rsidR="00BF0E1C">
        <w:rPr>
          <w:b/>
          <w:sz w:val="18"/>
          <w:szCs w:val="18"/>
          <w:lang w:val="en-GB"/>
        </w:rPr>
        <w:t xml:space="preserve"> </w:t>
      </w:r>
      <w:r w:rsidR="00B36178" w:rsidRPr="00D83250">
        <w:rPr>
          <w:sz w:val="18"/>
          <w:szCs w:val="18"/>
          <w:lang w:val="en-GB"/>
        </w:rPr>
        <w:t>Box-and-whisker pl</w:t>
      </w:r>
      <w:r w:rsidR="00B36178">
        <w:rPr>
          <w:sz w:val="18"/>
          <w:szCs w:val="18"/>
          <w:lang w:val="en-GB"/>
        </w:rPr>
        <w:t>ots of e</w:t>
      </w:r>
      <w:r w:rsidR="00BF0E1C">
        <w:rPr>
          <w:sz w:val="18"/>
          <w:szCs w:val="18"/>
          <w:lang w:val="en-GB"/>
        </w:rPr>
        <w:t>volution of weight and BMI. L: 6 months</w:t>
      </w:r>
      <w:r w:rsidR="00BF0E1C" w:rsidRPr="0088711A">
        <w:rPr>
          <w:sz w:val="18"/>
          <w:szCs w:val="18"/>
          <w:lang w:val="en-GB"/>
        </w:rPr>
        <w:t xml:space="preserve">: </w:t>
      </w:r>
      <w:r w:rsidR="00BF0E1C">
        <w:rPr>
          <w:sz w:val="18"/>
          <w:szCs w:val="18"/>
          <w:lang w:val="en-GB"/>
        </w:rPr>
        <w:t>weight/BMI evolution after 6 months of L</w:t>
      </w:r>
      <w:r w:rsidR="00D31E3E">
        <w:rPr>
          <w:sz w:val="18"/>
          <w:szCs w:val="18"/>
          <w:lang w:val="en-GB"/>
        </w:rPr>
        <w:t xml:space="preserve"> (compared with start of L)</w:t>
      </w:r>
      <w:r w:rsidR="00BF0E1C" w:rsidRPr="009D2539">
        <w:rPr>
          <w:sz w:val="18"/>
          <w:szCs w:val="18"/>
          <w:lang w:val="en-GB"/>
        </w:rPr>
        <w:t>; L</w:t>
      </w:r>
      <w:r w:rsidR="00BF0E1C">
        <w:rPr>
          <w:sz w:val="18"/>
          <w:szCs w:val="18"/>
          <w:lang w:val="en-GB"/>
        </w:rPr>
        <w:t xml:space="preserve">: 12 </w:t>
      </w:r>
      <w:r w:rsidR="00BF0E1C" w:rsidRPr="009D2539">
        <w:rPr>
          <w:sz w:val="18"/>
          <w:szCs w:val="18"/>
          <w:lang w:val="en-GB"/>
        </w:rPr>
        <w:t>m</w:t>
      </w:r>
      <w:r w:rsidR="00BF0E1C">
        <w:rPr>
          <w:sz w:val="18"/>
          <w:szCs w:val="18"/>
          <w:lang w:val="en-GB"/>
        </w:rPr>
        <w:t>onths</w:t>
      </w:r>
      <w:r w:rsidR="00BF0E1C" w:rsidRPr="009D2539">
        <w:rPr>
          <w:sz w:val="18"/>
          <w:szCs w:val="18"/>
          <w:lang w:val="en-GB"/>
        </w:rPr>
        <w:t xml:space="preserve">: </w:t>
      </w:r>
      <w:r w:rsidR="00BF0E1C">
        <w:rPr>
          <w:sz w:val="18"/>
          <w:szCs w:val="18"/>
          <w:lang w:val="en-GB"/>
        </w:rPr>
        <w:t>weight/BMI evolution after 12 months of L</w:t>
      </w:r>
      <w:r w:rsidR="00D31E3E">
        <w:rPr>
          <w:sz w:val="18"/>
          <w:szCs w:val="18"/>
          <w:lang w:val="en-GB"/>
        </w:rPr>
        <w:t xml:space="preserve"> (compared with start of L)</w:t>
      </w:r>
      <w:r w:rsidR="00BF0E1C" w:rsidRPr="009D2539">
        <w:rPr>
          <w:sz w:val="18"/>
          <w:szCs w:val="18"/>
          <w:lang w:val="en-GB"/>
        </w:rPr>
        <w:t xml:space="preserve">; </w:t>
      </w:r>
      <w:r w:rsidR="00BF0E1C">
        <w:rPr>
          <w:sz w:val="18"/>
          <w:szCs w:val="18"/>
          <w:lang w:val="en-GB"/>
        </w:rPr>
        <w:t>L: L+TE: weight/BMI evolution after entire monotherapy with L; L+TE: 6 months: weight/BMI evolution after 6 months of L+TE</w:t>
      </w:r>
      <w:r w:rsidR="00D31E3E">
        <w:rPr>
          <w:sz w:val="18"/>
          <w:szCs w:val="18"/>
          <w:lang w:val="en-GB"/>
        </w:rPr>
        <w:t xml:space="preserve"> (compared with start of L+TE)</w:t>
      </w:r>
      <w:r w:rsidR="00BF0E1C">
        <w:rPr>
          <w:sz w:val="18"/>
          <w:szCs w:val="18"/>
          <w:lang w:val="en-GB"/>
        </w:rPr>
        <w:t>; L+TE: 12 months: weight/BMI evolution after 12 months of L+TE</w:t>
      </w:r>
      <w:r w:rsidR="00D31E3E">
        <w:rPr>
          <w:sz w:val="18"/>
          <w:szCs w:val="18"/>
          <w:lang w:val="en-GB"/>
        </w:rPr>
        <w:t xml:space="preserve"> (compared with start of L+TE)</w:t>
      </w:r>
      <w:r w:rsidR="00BF0E1C">
        <w:rPr>
          <w:sz w:val="18"/>
          <w:szCs w:val="18"/>
          <w:lang w:val="en-GB"/>
        </w:rPr>
        <w:t>. L: lynestrenol monotherapy; L+TE: lynestrenol and testosterone esters combination therapy.</w:t>
      </w:r>
      <w:r w:rsidR="009E5015">
        <w:rPr>
          <w:sz w:val="18"/>
          <w:szCs w:val="18"/>
          <w:lang w:val="en-GB"/>
        </w:rPr>
        <w:t xml:space="preserve"> </w:t>
      </w:r>
      <w:r w:rsidR="008A68A5">
        <w:rPr>
          <w:sz w:val="18"/>
          <w:szCs w:val="18"/>
          <w:lang w:val="en-GB"/>
        </w:rPr>
        <w:t>Area between h</w:t>
      </w:r>
      <w:r w:rsidR="009E5015">
        <w:rPr>
          <w:sz w:val="18"/>
          <w:szCs w:val="18"/>
          <w:lang w:val="en-GB"/>
        </w:rPr>
        <w:t>orizontal lines represent 5kg or 2kg/m².</w:t>
      </w:r>
    </w:p>
    <w:p w14:paraId="06740730" w14:textId="77777777" w:rsidR="007A063A" w:rsidRPr="00451147" w:rsidRDefault="007A063A" w:rsidP="00C942CA">
      <w:pPr>
        <w:pStyle w:val="Kop3"/>
        <w:rPr>
          <w:lang w:val="en-GB"/>
        </w:rPr>
      </w:pPr>
      <w:bookmarkStart w:id="42" w:name="_Toc451961498"/>
      <w:r w:rsidRPr="00451147">
        <w:rPr>
          <w:lang w:val="en-GB"/>
        </w:rPr>
        <w:t>Biochemical analyses</w:t>
      </w:r>
      <w:bookmarkEnd w:id="42"/>
    </w:p>
    <w:p w14:paraId="2C4472B0" w14:textId="77777777" w:rsidR="007A063A" w:rsidRPr="00451147" w:rsidRDefault="007A063A" w:rsidP="00C942CA">
      <w:pPr>
        <w:pStyle w:val="Kop4"/>
        <w:rPr>
          <w:lang w:val="en-GB"/>
        </w:rPr>
      </w:pPr>
      <w:r w:rsidRPr="00451147">
        <w:rPr>
          <w:lang w:val="en-GB"/>
        </w:rPr>
        <w:t xml:space="preserve">Safety and metabolic parameters </w:t>
      </w:r>
    </w:p>
    <w:p w14:paraId="400B2984" w14:textId="76B2252E" w:rsidR="006F1D4B" w:rsidRDefault="007A063A" w:rsidP="00424AC8">
      <w:pPr>
        <w:spacing w:after="0"/>
        <w:jc w:val="both"/>
        <w:rPr>
          <w:bCs/>
          <w:lang w:val="en-GB"/>
        </w:rPr>
      </w:pPr>
      <w:r w:rsidRPr="00CE715D">
        <w:rPr>
          <w:bCs/>
          <w:lang w:val="en-GB"/>
        </w:rPr>
        <w:t xml:space="preserve">Mean </w:t>
      </w:r>
      <w:r w:rsidRPr="00947B45">
        <w:rPr>
          <w:bCs/>
          <w:i/>
          <w:lang w:val="en-GB"/>
        </w:rPr>
        <w:t>hemoglobin</w:t>
      </w:r>
      <w:r w:rsidRPr="00CE715D">
        <w:rPr>
          <w:bCs/>
          <w:lang w:val="en-GB"/>
        </w:rPr>
        <w:t xml:space="preserve"> (Hb) and </w:t>
      </w:r>
      <w:r w:rsidRPr="00947B45">
        <w:rPr>
          <w:bCs/>
          <w:i/>
          <w:lang w:val="en-GB"/>
        </w:rPr>
        <w:t>hematocrit</w:t>
      </w:r>
      <w:r w:rsidRPr="00CE715D">
        <w:rPr>
          <w:bCs/>
          <w:lang w:val="en-GB"/>
        </w:rPr>
        <w:t xml:space="preserve"> (Hct) levels increased significantly in the first 6 months of L and of L+T</w:t>
      </w:r>
      <w:r w:rsidR="0087586D">
        <w:rPr>
          <w:bCs/>
          <w:lang w:val="en-GB"/>
        </w:rPr>
        <w:t>E</w:t>
      </w:r>
      <w:r w:rsidRPr="00CE715D">
        <w:rPr>
          <w:bCs/>
          <w:lang w:val="en-GB"/>
        </w:rPr>
        <w:t xml:space="preserve"> but remained </w:t>
      </w:r>
      <w:r w:rsidR="00CF0F42">
        <w:rPr>
          <w:bCs/>
          <w:lang w:val="en-GB"/>
        </w:rPr>
        <w:t>constant</w:t>
      </w:r>
      <w:r w:rsidRPr="00CE715D">
        <w:rPr>
          <w:bCs/>
          <w:lang w:val="en-GB"/>
        </w:rPr>
        <w:t xml:space="preserve"> in the next 6 months. None of the individual Hb values rose above the upper adult male reference (Fig. </w:t>
      </w:r>
      <w:r w:rsidR="00624AB0">
        <w:rPr>
          <w:bCs/>
          <w:lang w:val="en-GB"/>
        </w:rPr>
        <w:t>4</w:t>
      </w:r>
      <w:r w:rsidRPr="00CE715D">
        <w:rPr>
          <w:bCs/>
          <w:lang w:val="en-GB"/>
        </w:rPr>
        <w:t>a, b).</w:t>
      </w:r>
      <w:r w:rsidR="00451147">
        <w:rPr>
          <w:bCs/>
          <w:lang w:val="en-GB"/>
        </w:rPr>
        <w:t xml:space="preserve"> </w:t>
      </w:r>
    </w:p>
    <w:p w14:paraId="6ABA6E01" w14:textId="70E832B5" w:rsidR="006F1D4B" w:rsidRDefault="000D1402" w:rsidP="00424AC8">
      <w:pPr>
        <w:spacing w:after="0"/>
        <w:jc w:val="both"/>
        <w:rPr>
          <w:bCs/>
          <w:lang w:val="en-GB"/>
        </w:rPr>
      </w:pPr>
      <w:r w:rsidRPr="00CE715D">
        <w:rPr>
          <w:bCs/>
          <w:lang w:val="en-GB"/>
        </w:rPr>
        <w:t xml:space="preserve">Only </w:t>
      </w:r>
      <w:r w:rsidRPr="00947B45">
        <w:rPr>
          <w:bCs/>
          <w:i/>
          <w:lang w:val="en-GB"/>
        </w:rPr>
        <w:t>alanine amino transferase</w:t>
      </w:r>
      <w:r w:rsidRPr="00CE715D">
        <w:rPr>
          <w:bCs/>
          <w:lang w:val="en-GB"/>
        </w:rPr>
        <w:t xml:space="preserve"> (ALT) but not </w:t>
      </w:r>
      <w:r w:rsidRPr="00947B45">
        <w:rPr>
          <w:bCs/>
          <w:i/>
          <w:lang w:val="en-GB"/>
        </w:rPr>
        <w:t>aspartate amino transferase</w:t>
      </w:r>
      <w:r w:rsidRPr="00CE715D">
        <w:rPr>
          <w:bCs/>
          <w:lang w:val="en-GB"/>
        </w:rPr>
        <w:t xml:space="preserve"> (AST) showed a statistically significant, although not clinically relevant rise after 12 months of L. In one patient, ALT levels transiently increased above the upper male reference to 57 U/L after 12 months of L but normalized after the start of L+T</w:t>
      </w:r>
      <w:r w:rsidR="0087586D">
        <w:rPr>
          <w:bCs/>
          <w:lang w:val="en-GB"/>
        </w:rPr>
        <w:t>E</w:t>
      </w:r>
      <w:r w:rsidRPr="00CE715D">
        <w:rPr>
          <w:bCs/>
          <w:lang w:val="en-GB"/>
        </w:rPr>
        <w:t>. Both ALT and AST further increased under L+T</w:t>
      </w:r>
      <w:r w:rsidR="0087586D">
        <w:rPr>
          <w:bCs/>
          <w:lang w:val="en-GB"/>
        </w:rPr>
        <w:t>E</w:t>
      </w:r>
      <w:r w:rsidRPr="00CE715D">
        <w:rPr>
          <w:bCs/>
          <w:lang w:val="en-GB"/>
        </w:rPr>
        <w:t xml:space="preserve"> treatment but </w:t>
      </w:r>
      <w:r w:rsidRPr="00CE715D">
        <w:rPr>
          <w:bCs/>
          <w:lang w:val="en-GB"/>
        </w:rPr>
        <w:lastRenderedPageBreak/>
        <w:t>remained well within the male reference range. None of the patients reached the threshold of three times the upper reference limit which we considered the cut</w:t>
      </w:r>
      <w:r w:rsidR="0052061F">
        <w:rPr>
          <w:bCs/>
          <w:lang w:val="en-GB"/>
        </w:rPr>
        <w:t>-</w:t>
      </w:r>
      <w:r w:rsidRPr="00CE715D">
        <w:rPr>
          <w:bCs/>
          <w:lang w:val="en-GB"/>
        </w:rPr>
        <w:t xml:space="preserve">off to stop treatment (Fig. </w:t>
      </w:r>
      <w:r w:rsidR="00624AB0">
        <w:rPr>
          <w:bCs/>
          <w:lang w:val="en-GB"/>
        </w:rPr>
        <w:t>4</w:t>
      </w:r>
      <w:r w:rsidRPr="00CE715D">
        <w:rPr>
          <w:bCs/>
          <w:lang w:val="en-GB"/>
        </w:rPr>
        <w:t xml:space="preserve">c, d). </w:t>
      </w:r>
      <w:r w:rsidRPr="00947B45">
        <w:rPr>
          <w:bCs/>
          <w:i/>
          <w:lang w:val="en-GB"/>
        </w:rPr>
        <w:t>Creatinine</w:t>
      </w:r>
      <w:r w:rsidRPr="00CE715D">
        <w:rPr>
          <w:bCs/>
          <w:lang w:val="en-GB"/>
        </w:rPr>
        <w:t xml:space="preserve"> significantly increased during the first 6 months of L and during the first 6 months of L+T</w:t>
      </w:r>
      <w:r w:rsidR="0087586D">
        <w:rPr>
          <w:bCs/>
          <w:lang w:val="en-GB"/>
        </w:rPr>
        <w:t>E</w:t>
      </w:r>
      <w:r w:rsidRPr="00CE715D">
        <w:rPr>
          <w:bCs/>
          <w:lang w:val="en-GB"/>
        </w:rPr>
        <w:t xml:space="preserve"> but remained </w:t>
      </w:r>
      <w:r w:rsidR="00CF0F42">
        <w:rPr>
          <w:bCs/>
          <w:lang w:val="en-GB"/>
        </w:rPr>
        <w:t>constant</w:t>
      </w:r>
      <w:r w:rsidRPr="00CE715D">
        <w:rPr>
          <w:bCs/>
          <w:lang w:val="en-GB"/>
        </w:rPr>
        <w:t xml:space="preserve"> in the following 6 m</w:t>
      </w:r>
      <w:r w:rsidR="00424AC8">
        <w:rPr>
          <w:bCs/>
          <w:lang w:val="en-GB"/>
        </w:rPr>
        <w:t xml:space="preserve">onths (Fig. </w:t>
      </w:r>
      <w:r w:rsidR="00624AB0">
        <w:rPr>
          <w:bCs/>
          <w:lang w:val="en-GB"/>
        </w:rPr>
        <w:t>4</w:t>
      </w:r>
      <w:r w:rsidRPr="00CE715D">
        <w:rPr>
          <w:bCs/>
          <w:lang w:val="en-GB"/>
        </w:rPr>
        <w:t xml:space="preserve">g). </w:t>
      </w:r>
    </w:p>
    <w:p w14:paraId="53F46C5E" w14:textId="42BEFDDC" w:rsidR="001C722F" w:rsidRDefault="000D1402" w:rsidP="00424AC8">
      <w:pPr>
        <w:spacing w:after="0"/>
        <w:jc w:val="both"/>
        <w:rPr>
          <w:bCs/>
          <w:lang w:val="en-GB"/>
        </w:rPr>
      </w:pPr>
      <w:r w:rsidRPr="00CE715D">
        <w:rPr>
          <w:bCs/>
          <w:lang w:val="en-GB"/>
        </w:rPr>
        <w:t xml:space="preserve">Total </w:t>
      </w:r>
      <w:r w:rsidRPr="00947B45">
        <w:rPr>
          <w:bCs/>
          <w:i/>
          <w:lang w:val="en-GB"/>
        </w:rPr>
        <w:t>cholesterol</w:t>
      </w:r>
      <w:r w:rsidRPr="00CE715D">
        <w:rPr>
          <w:bCs/>
          <w:lang w:val="en-GB"/>
        </w:rPr>
        <w:t xml:space="preserve"> and </w:t>
      </w:r>
      <w:r w:rsidRPr="0052061F">
        <w:rPr>
          <w:bCs/>
          <w:i/>
          <w:lang w:val="en-GB"/>
        </w:rPr>
        <w:t>triglyceride</w:t>
      </w:r>
      <w:r w:rsidRPr="00CE715D">
        <w:rPr>
          <w:bCs/>
          <w:lang w:val="en-GB"/>
        </w:rPr>
        <w:t xml:space="preserve"> levels did not change during treatment; however, mean HDL decreased significantly and mean low-density lipoprotein (LDL) levels increased significantly in the first 6 months of L. During L+T</w:t>
      </w:r>
      <w:r w:rsidR="0087586D">
        <w:rPr>
          <w:bCs/>
          <w:lang w:val="en-GB"/>
        </w:rPr>
        <w:t>E</w:t>
      </w:r>
      <w:r w:rsidRPr="00CE715D">
        <w:rPr>
          <w:bCs/>
          <w:lang w:val="en-GB"/>
        </w:rPr>
        <w:t xml:space="preserve">, mean LDL levels did </w:t>
      </w:r>
      <w:r w:rsidR="00424AC8">
        <w:rPr>
          <w:bCs/>
          <w:lang w:val="en-GB"/>
        </w:rPr>
        <w:t xml:space="preserve">not change significantly (Fig. </w:t>
      </w:r>
      <w:r w:rsidR="00624AB0">
        <w:rPr>
          <w:bCs/>
          <w:lang w:val="en-GB"/>
        </w:rPr>
        <w:t>4</w:t>
      </w:r>
      <w:r w:rsidRPr="00CE715D">
        <w:rPr>
          <w:bCs/>
          <w:lang w:val="en-GB"/>
        </w:rPr>
        <w:t>e,</w:t>
      </w:r>
      <w:r w:rsidR="0087586D">
        <w:rPr>
          <w:bCs/>
          <w:lang w:val="en-GB"/>
        </w:rPr>
        <w:t xml:space="preserve"> </w:t>
      </w:r>
      <w:r w:rsidRPr="00CE715D">
        <w:rPr>
          <w:bCs/>
          <w:lang w:val="en-GB"/>
        </w:rPr>
        <w:t xml:space="preserve">f). </w:t>
      </w:r>
    </w:p>
    <w:p w14:paraId="1FF37B8F" w14:textId="1665D6D8" w:rsidR="00451147" w:rsidRPr="0052061F" w:rsidRDefault="000D1402" w:rsidP="00424AC8">
      <w:pPr>
        <w:spacing w:after="0"/>
        <w:jc w:val="both"/>
        <w:rPr>
          <w:bCs/>
          <w:lang w:val="en-GB"/>
        </w:rPr>
      </w:pPr>
      <w:r w:rsidRPr="00CE715D">
        <w:rPr>
          <w:bCs/>
          <w:lang w:val="en-GB"/>
        </w:rPr>
        <w:t xml:space="preserve">No significant changes in </w:t>
      </w:r>
      <w:r w:rsidRPr="0052061F">
        <w:rPr>
          <w:bCs/>
          <w:i/>
          <w:lang w:val="en-GB"/>
        </w:rPr>
        <w:t>hemoglobin A1c</w:t>
      </w:r>
      <w:r w:rsidRPr="00CE715D">
        <w:rPr>
          <w:bCs/>
          <w:lang w:val="en-GB"/>
        </w:rPr>
        <w:t xml:space="preserve"> (HbA1c), glucose levels, insulin levels, or homeostasis model assessment (HOMA) index were noticed during either L or L+T</w:t>
      </w:r>
      <w:r w:rsidR="0087586D">
        <w:rPr>
          <w:bCs/>
          <w:lang w:val="en-GB"/>
        </w:rPr>
        <w:t>E</w:t>
      </w:r>
      <w:r w:rsidR="0052061F">
        <w:rPr>
          <w:bCs/>
          <w:lang w:val="en-GB"/>
        </w:rPr>
        <w:t>.</w:t>
      </w:r>
    </w:p>
    <w:p w14:paraId="5AD7D2AC" w14:textId="77777777" w:rsidR="000D1402" w:rsidRPr="00451147" w:rsidRDefault="000D1402" w:rsidP="00C942CA">
      <w:pPr>
        <w:pStyle w:val="Kop4"/>
        <w:rPr>
          <w:lang w:val="en-GB"/>
        </w:rPr>
      </w:pPr>
      <w:r w:rsidRPr="00451147">
        <w:rPr>
          <w:lang w:val="en-GB"/>
        </w:rPr>
        <w:t>Hormone levels</w:t>
      </w:r>
    </w:p>
    <w:p w14:paraId="358DCF37" w14:textId="5341A60D" w:rsidR="001C722F" w:rsidRDefault="000D1402" w:rsidP="00D9773E">
      <w:pPr>
        <w:spacing w:after="0"/>
        <w:jc w:val="both"/>
        <w:rPr>
          <w:bCs/>
          <w:lang w:val="en-GB"/>
        </w:rPr>
      </w:pPr>
      <w:r w:rsidRPr="00CE715D">
        <w:rPr>
          <w:bCs/>
          <w:lang w:val="en-GB"/>
        </w:rPr>
        <w:t xml:space="preserve">Although no significant changes in mean </w:t>
      </w:r>
      <w:r w:rsidRPr="00947B45">
        <w:rPr>
          <w:bCs/>
          <w:i/>
          <w:lang w:val="en-GB"/>
        </w:rPr>
        <w:t>TSH</w:t>
      </w:r>
      <w:r w:rsidRPr="00CE715D">
        <w:rPr>
          <w:bCs/>
          <w:lang w:val="en-GB"/>
        </w:rPr>
        <w:t xml:space="preserve"> levels were observed, fT4 levels increased significantly both in the first and second half year of L. In the first 6 months of L+T</w:t>
      </w:r>
      <w:r w:rsidR="0087586D">
        <w:rPr>
          <w:bCs/>
          <w:lang w:val="en-GB"/>
        </w:rPr>
        <w:t>E</w:t>
      </w:r>
      <w:r w:rsidRPr="00CE715D">
        <w:rPr>
          <w:bCs/>
          <w:lang w:val="en-GB"/>
        </w:rPr>
        <w:t xml:space="preserve">, there was a decrease in TSH accompanied with a significant decrease in fT4 in the first and next 6 months of treatment. However, in all patients, serum levels for both TSH and fT4 remained well within the reference range (Table </w:t>
      </w:r>
      <w:r w:rsidR="00A44497">
        <w:rPr>
          <w:bCs/>
          <w:lang w:val="en-GB"/>
        </w:rPr>
        <w:t>6</w:t>
      </w:r>
      <w:r w:rsidRPr="00CE715D">
        <w:rPr>
          <w:bCs/>
          <w:lang w:val="en-GB"/>
        </w:rPr>
        <w:t xml:space="preserve">). </w:t>
      </w:r>
    </w:p>
    <w:p w14:paraId="24B9F364" w14:textId="518E402A" w:rsidR="000D1402" w:rsidRPr="00CE715D" w:rsidRDefault="000D1402" w:rsidP="00D9773E">
      <w:pPr>
        <w:spacing w:after="0"/>
        <w:jc w:val="both"/>
        <w:rPr>
          <w:bCs/>
          <w:lang w:val="en-GB"/>
        </w:rPr>
      </w:pPr>
      <w:r w:rsidRPr="00CE715D">
        <w:rPr>
          <w:bCs/>
          <w:lang w:val="en-GB"/>
        </w:rPr>
        <w:t xml:space="preserve">The eight patients who were using </w:t>
      </w:r>
      <w:r w:rsidRPr="00C72FA6">
        <w:rPr>
          <w:bCs/>
          <w:i/>
          <w:lang w:val="en-GB"/>
        </w:rPr>
        <w:t>OC</w:t>
      </w:r>
      <w:r w:rsidRPr="00CE715D">
        <w:rPr>
          <w:bCs/>
          <w:lang w:val="en-GB"/>
        </w:rPr>
        <w:t xml:space="preserve"> before L was started were excluded for b</w:t>
      </w:r>
      <w:r w:rsidR="00172A23">
        <w:rPr>
          <w:bCs/>
          <w:lang w:val="en-GB"/>
        </w:rPr>
        <w:t xml:space="preserve">aseline analysis of LH, FSH, E2 </w:t>
      </w:r>
      <w:r w:rsidRPr="00CE715D">
        <w:rPr>
          <w:bCs/>
          <w:lang w:val="en-GB"/>
        </w:rPr>
        <w:t xml:space="preserve">and SHBG. Mean AMH, T, and fT levels were not different in OC users as compared to non-OC users and were included in baseline analyses. Mean </w:t>
      </w:r>
      <w:r w:rsidRPr="00C72FA6">
        <w:rPr>
          <w:bCs/>
          <w:i/>
          <w:lang w:val="en-GB"/>
        </w:rPr>
        <w:t>SHBG, LH,</w:t>
      </w:r>
      <w:r w:rsidRPr="00CE715D">
        <w:rPr>
          <w:bCs/>
          <w:lang w:val="en-GB"/>
        </w:rPr>
        <w:t xml:space="preserve"> but not </w:t>
      </w:r>
      <w:r w:rsidRPr="00C72FA6">
        <w:rPr>
          <w:bCs/>
          <w:i/>
          <w:lang w:val="en-GB"/>
        </w:rPr>
        <w:t>FSH</w:t>
      </w:r>
      <w:r w:rsidRPr="00CE715D">
        <w:rPr>
          <w:bCs/>
          <w:lang w:val="en-GB"/>
        </w:rPr>
        <w:t xml:space="preserve"> levels decreased sharply during the first 6 months of L</w:t>
      </w:r>
      <w:r w:rsidR="00DE53A0">
        <w:rPr>
          <w:bCs/>
          <w:lang w:val="en-GB"/>
        </w:rPr>
        <w:t>, whereas only LH decreased further in the</w:t>
      </w:r>
      <w:r w:rsidR="00624AB0">
        <w:rPr>
          <w:bCs/>
          <w:lang w:val="en-GB"/>
        </w:rPr>
        <w:t xml:space="preserve"> next 6 months (Fig. 4</w:t>
      </w:r>
      <w:r w:rsidRPr="00CE715D">
        <w:rPr>
          <w:bCs/>
          <w:lang w:val="en-GB"/>
        </w:rPr>
        <w:t>h). Only after L+T</w:t>
      </w:r>
      <w:r w:rsidR="0087586D">
        <w:rPr>
          <w:bCs/>
          <w:lang w:val="en-GB"/>
        </w:rPr>
        <w:t>E</w:t>
      </w:r>
      <w:r w:rsidRPr="00CE715D">
        <w:rPr>
          <w:bCs/>
          <w:lang w:val="en-GB"/>
        </w:rPr>
        <w:t>, LH and FSH we</w:t>
      </w:r>
      <w:r w:rsidR="00424AC8">
        <w:rPr>
          <w:bCs/>
          <w:lang w:val="en-GB"/>
        </w:rPr>
        <w:t xml:space="preserve">re both fully suppressed (Fig. </w:t>
      </w:r>
      <w:r w:rsidR="00624AB0">
        <w:rPr>
          <w:bCs/>
          <w:lang w:val="en-GB"/>
        </w:rPr>
        <w:t>4</w:t>
      </w:r>
      <w:r w:rsidRPr="00CE715D">
        <w:rPr>
          <w:bCs/>
          <w:lang w:val="en-GB"/>
        </w:rPr>
        <w:t xml:space="preserve">i). L caused a significant decrease in mean </w:t>
      </w:r>
      <w:r w:rsidRPr="00C72FA6">
        <w:rPr>
          <w:bCs/>
          <w:i/>
          <w:lang w:val="en-GB"/>
        </w:rPr>
        <w:t>E2</w:t>
      </w:r>
      <w:r w:rsidRPr="00CE715D">
        <w:rPr>
          <w:bCs/>
          <w:lang w:val="en-GB"/>
        </w:rPr>
        <w:t xml:space="preserve"> levels at 6 months with no significant changes anymore thereafter (Fig. </w:t>
      </w:r>
      <w:r w:rsidR="00624AB0">
        <w:rPr>
          <w:bCs/>
          <w:lang w:val="en-GB"/>
        </w:rPr>
        <w:t>4</w:t>
      </w:r>
      <w:r w:rsidRPr="00CE715D">
        <w:rPr>
          <w:bCs/>
          <w:lang w:val="en-GB"/>
        </w:rPr>
        <w:t xml:space="preserve">j). </w:t>
      </w:r>
      <w:r w:rsidRPr="00C72FA6">
        <w:rPr>
          <w:bCs/>
          <w:lang w:val="en-GB"/>
        </w:rPr>
        <w:t xml:space="preserve">Mean </w:t>
      </w:r>
      <w:r w:rsidR="00C72FA6" w:rsidRPr="00C72FA6">
        <w:rPr>
          <w:bCs/>
          <w:i/>
          <w:lang w:val="en-GB"/>
        </w:rPr>
        <w:t xml:space="preserve">Anti-Müllerian Hormone </w:t>
      </w:r>
      <w:r w:rsidR="00C72FA6" w:rsidRPr="00C72FA6">
        <w:rPr>
          <w:bCs/>
          <w:lang w:val="en-GB"/>
        </w:rPr>
        <w:t>(</w:t>
      </w:r>
      <w:r w:rsidRPr="00C72FA6">
        <w:rPr>
          <w:bCs/>
          <w:lang w:val="en-GB"/>
        </w:rPr>
        <w:t>AMH</w:t>
      </w:r>
      <w:r w:rsidR="00C72FA6" w:rsidRPr="00C72FA6">
        <w:rPr>
          <w:bCs/>
          <w:lang w:val="en-GB"/>
        </w:rPr>
        <w:t>)</w:t>
      </w:r>
      <w:r w:rsidRPr="00C72FA6">
        <w:rPr>
          <w:bCs/>
          <w:lang w:val="en-GB"/>
        </w:rPr>
        <w:t xml:space="preserve"> </w:t>
      </w:r>
      <w:r w:rsidRPr="00CE715D">
        <w:rPr>
          <w:bCs/>
          <w:lang w:val="en-GB"/>
        </w:rPr>
        <w:t>levels did not change during the course of treatment. The significant decrease in T levels in the first 6 months of L was accompanied by a non-significant</w:t>
      </w:r>
      <w:r w:rsidRPr="00C72FA6">
        <w:rPr>
          <w:bCs/>
          <w:lang w:val="en-GB"/>
        </w:rPr>
        <w:t xml:space="preserve"> increase</w:t>
      </w:r>
      <w:r w:rsidR="00F73319">
        <w:rPr>
          <w:bCs/>
          <w:lang w:val="en-GB"/>
        </w:rPr>
        <w:t xml:space="preserve"> </w:t>
      </w:r>
      <w:r w:rsidR="00136D3C">
        <w:rPr>
          <w:bCs/>
          <w:lang w:val="en-GB"/>
        </w:rPr>
        <w:t xml:space="preserve">in </w:t>
      </w:r>
      <w:r w:rsidR="00F73319">
        <w:rPr>
          <w:bCs/>
          <w:lang w:val="en-GB"/>
        </w:rPr>
        <w:t>fT</w:t>
      </w:r>
      <w:r w:rsidRPr="00CE715D">
        <w:rPr>
          <w:bCs/>
          <w:lang w:val="en-GB"/>
        </w:rPr>
        <w:t xml:space="preserve">. Both </w:t>
      </w:r>
      <w:r w:rsidRPr="00C72FA6">
        <w:rPr>
          <w:bCs/>
          <w:i/>
          <w:lang w:val="en-GB"/>
        </w:rPr>
        <w:t>T and fT</w:t>
      </w:r>
      <w:r w:rsidRPr="00CE715D">
        <w:rPr>
          <w:bCs/>
          <w:lang w:val="en-GB"/>
        </w:rPr>
        <w:t xml:space="preserve"> did not change in the next 6 months. As expected, mean T increased significantly in the first months of L+T</w:t>
      </w:r>
      <w:r w:rsidR="0087586D">
        <w:rPr>
          <w:bCs/>
          <w:lang w:val="en-GB"/>
        </w:rPr>
        <w:t>E</w:t>
      </w:r>
      <w:r w:rsidRPr="00CE715D">
        <w:rPr>
          <w:bCs/>
          <w:lang w:val="en-GB"/>
        </w:rPr>
        <w:t xml:space="preserve">, already at the lowest dose (50 mg/2 weeks) and further increased in the next months to reach T values well within the male reference range. This was accompanied by a similar increase in fT levels. </w:t>
      </w:r>
      <w:r w:rsidR="003D29B1">
        <w:rPr>
          <w:bCs/>
          <w:lang w:val="en-GB"/>
        </w:rPr>
        <w:t>For fT, s</w:t>
      </w:r>
      <w:r w:rsidRPr="00CE715D">
        <w:rPr>
          <w:bCs/>
          <w:lang w:val="en-GB"/>
        </w:rPr>
        <w:t xml:space="preserve">ome patients exceeded the male upper reference of 25 ng/dL, due to blood sampling close to the last </w:t>
      </w:r>
      <w:r w:rsidR="00624AB0">
        <w:rPr>
          <w:bCs/>
          <w:lang w:val="en-GB"/>
        </w:rPr>
        <w:t xml:space="preserve">TE injection (Table </w:t>
      </w:r>
      <w:r w:rsidR="00A44497">
        <w:rPr>
          <w:bCs/>
          <w:lang w:val="en-GB"/>
        </w:rPr>
        <w:t>6</w:t>
      </w:r>
      <w:r w:rsidR="00624AB0">
        <w:rPr>
          <w:bCs/>
          <w:lang w:val="en-GB"/>
        </w:rPr>
        <w:t xml:space="preserve"> and Fig. 4</w:t>
      </w:r>
      <w:r w:rsidRPr="00CE715D">
        <w:rPr>
          <w:bCs/>
          <w:lang w:val="en-GB"/>
        </w:rPr>
        <w:t>k,</w:t>
      </w:r>
      <w:r w:rsidR="009D086E">
        <w:rPr>
          <w:bCs/>
          <w:lang w:val="en-GB"/>
        </w:rPr>
        <w:t xml:space="preserve"> </w:t>
      </w:r>
      <w:r w:rsidRPr="00CE715D">
        <w:rPr>
          <w:bCs/>
          <w:lang w:val="en-GB"/>
        </w:rPr>
        <w:t>l).</w:t>
      </w:r>
    </w:p>
    <w:p w14:paraId="0CBB142E" w14:textId="77777777" w:rsidR="004514E6" w:rsidRDefault="004514E6" w:rsidP="004514E6">
      <w:pPr>
        <w:spacing w:after="0"/>
        <w:rPr>
          <w:lang w:val="en-GB"/>
        </w:rPr>
      </w:pPr>
    </w:p>
    <w:p w14:paraId="0001DBD1" w14:textId="77777777" w:rsidR="007A063A" w:rsidRDefault="00D83250" w:rsidP="007A063A">
      <w:pPr>
        <w:rPr>
          <w:rFonts w:asciiTheme="majorHAnsi" w:hAnsiTheme="majorHAnsi" w:cs="Arial"/>
          <w:color w:val="000000"/>
          <w:sz w:val="20"/>
          <w:szCs w:val="20"/>
          <w:lang w:val="en-GB"/>
        </w:rPr>
      </w:pPr>
      <w:r>
        <w:rPr>
          <w:rFonts w:asciiTheme="majorHAnsi" w:hAnsiTheme="majorHAnsi" w:cs="Arial"/>
          <w:noProof/>
          <w:color w:val="000000"/>
          <w:sz w:val="20"/>
          <w:szCs w:val="20"/>
        </w:rPr>
        <w:lastRenderedPageBreak/>
        <w:drawing>
          <wp:inline distT="0" distB="0" distL="0" distR="0" wp14:anchorId="20311F78" wp14:editId="179102B5">
            <wp:extent cx="4681730" cy="6120000"/>
            <wp:effectExtent l="19050" t="0" r="4570" b="0"/>
            <wp:docPr id="2" name="Afbeelding 1" descr="C:\Users\Lloyd\Desktop\4e master\onderzoek\lynestrenol\lloyd2.1\Figure 1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oyd\Desktop\4e master\onderzoek\lynestrenol\lloyd2.1\Figure 1A-F.png"/>
                    <pic:cNvPicPr>
                      <a:picLocks noChangeAspect="1" noChangeArrowheads="1"/>
                    </pic:cNvPicPr>
                  </pic:nvPicPr>
                  <pic:blipFill>
                    <a:blip r:embed="rId15" cstate="print"/>
                    <a:srcRect/>
                    <a:stretch>
                      <a:fillRect/>
                    </a:stretch>
                  </pic:blipFill>
                  <pic:spPr bwMode="auto">
                    <a:xfrm>
                      <a:off x="0" y="0"/>
                      <a:ext cx="4681730" cy="6120000"/>
                    </a:xfrm>
                    <a:prstGeom prst="rect">
                      <a:avLst/>
                    </a:prstGeom>
                    <a:noFill/>
                    <a:ln w="9525">
                      <a:noFill/>
                      <a:miter lim="800000"/>
                      <a:headEnd/>
                      <a:tailEnd/>
                    </a:ln>
                  </pic:spPr>
                </pic:pic>
              </a:graphicData>
            </a:graphic>
          </wp:inline>
        </w:drawing>
      </w:r>
    </w:p>
    <w:p w14:paraId="625A8FC1" w14:textId="77777777" w:rsidR="00451147" w:rsidRDefault="00451147">
      <w:pPr>
        <w:rPr>
          <w:rFonts w:asciiTheme="majorHAnsi" w:eastAsiaTheme="majorEastAsia" w:hAnsiTheme="majorHAnsi" w:cstheme="majorBidi"/>
          <w:b/>
          <w:bCs/>
          <w:color w:val="4F81BD" w:themeColor="accent1"/>
          <w:sz w:val="26"/>
          <w:szCs w:val="26"/>
          <w:lang w:val="en-GB"/>
        </w:rPr>
      </w:pPr>
      <w:r>
        <w:rPr>
          <w:lang w:val="en-GB"/>
        </w:rPr>
        <w:br w:type="page"/>
      </w:r>
      <w:r w:rsidR="00D83250">
        <w:rPr>
          <w:noProof/>
        </w:rPr>
        <w:lastRenderedPageBreak/>
        <w:drawing>
          <wp:inline distT="0" distB="0" distL="0" distR="0" wp14:anchorId="31219180" wp14:editId="6FD7BABB">
            <wp:extent cx="4702974" cy="6120000"/>
            <wp:effectExtent l="19050" t="0" r="2376" b="0"/>
            <wp:docPr id="3" name="Afbeelding 2" descr="C:\Users\Lloyd\Desktop\4e master\onderzoek\lynestrenol\lloyd2.1\Figure 1G-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loyd\Desktop\4e master\onderzoek\lynestrenol\lloyd2.1\Figure 1G-L.png"/>
                    <pic:cNvPicPr>
                      <a:picLocks noChangeAspect="1" noChangeArrowheads="1"/>
                    </pic:cNvPicPr>
                  </pic:nvPicPr>
                  <pic:blipFill>
                    <a:blip r:embed="rId16" cstate="print"/>
                    <a:srcRect/>
                    <a:stretch>
                      <a:fillRect/>
                    </a:stretch>
                  </pic:blipFill>
                  <pic:spPr bwMode="auto">
                    <a:xfrm>
                      <a:off x="0" y="0"/>
                      <a:ext cx="4702974" cy="6120000"/>
                    </a:xfrm>
                    <a:prstGeom prst="rect">
                      <a:avLst/>
                    </a:prstGeom>
                    <a:noFill/>
                    <a:ln w="9525">
                      <a:noFill/>
                      <a:miter lim="800000"/>
                      <a:headEnd/>
                      <a:tailEnd/>
                    </a:ln>
                  </pic:spPr>
                </pic:pic>
              </a:graphicData>
            </a:graphic>
          </wp:inline>
        </w:drawing>
      </w:r>
    </w:p>
    <w:p w14:paraId="4749CD1C" w14:textId="045E13A1" w:rsidR="00D83250" w:rsidRPr="00D83250" w:rsidRDefault="00D83250" w:rsidP="00F45E4F">
      <w:pPr>
        <w:spacing w:after="0"/>
        <w:jc w:val="both"/>
        <w:rPr>
          <w:sz w:val="18"/>
          <w:szCs w:val="18"/>
          <w:lang w:val="en-GB"/>
        </w:rPr>
      </w:pPr>
      <w:r w:rsidRPr="00D83250">
        <w:rPr>
          <w:b/>
          <w:sz w:val="18"/>
          <w:szCs w:val="18"/>
          <w:lang w:val="en-GB"/>
        </w:rPr>
        <w:t xml:space="preserve">Figure </w:t>
      </w:r>
      <w:r w:rsidR="00624AB0">
        <w:rPr>
          <w:b/>
          <w:sz w:val="18"/>
          <w:szCs w:val="18"/>
          <w:lang w:val="en-GB"/>
        </w:rPr>
        <w:t>4</w:t>
      </w:r>
      <w:r w:rsidRPr="00D83250">
        <w:rPr>
          <w:b/>
          <w:sz w:val="18"/>
          <w:szCs w:val="18"/>
          <w:lang w:val="en-GB"/>
        </w:rPr>
        <w:t xml:space="preserve">. </w:t>
      </w:r>
      <w:r w:rsidRPr="00D83250">
        <w:rPr>
          <w:sz w:val="18"/>
          <w:szCs w:val="18"/>
          <w:lang w:val="en-GB"/>
        </w:rPr>
        <w:t>Box-and-whisker plots of biochemical parameters. L0: baseline values; L6m: after six months of L; L12m: after 12m of L; L+T0: before start of L+T; L+T6m: after 6 months of L+T; L+T12m: after 12 months of L+T.</w:t>
      </w:r>
      <w:r w:rsidR="00F53134">
        <w:rPr>
          <w:sz w:val="18"/>
          <w:szCs w:val="18"/>
          <w:lang w:val="en-GB"/>
        </w:rPr>
        <w:t xml:space="preserve"> Grey zones: female reference range, hatched zones: male reference range.</w:t>
      </w:r>
      <w:r w:rsidRPr="00D83250">
        <w:rPr>
          <w:sz w:val="18"/>
          <w:szCs w:val="18"/>
          <w:lang w:val="en-GB"/>
        </w:rPr>
        <w:t xml:space="preserve"> A: hemoglobin (g/dL, multiply by 10 for SI units: g/L); B: hematocrit (%, multiply by 0,01 for SI units: proportion of 1,0); C: AST (U/L, multiply by 0,0167 for SI units: µkat/L); D: ALT (U/L, multiply by 0,0167 for SI units: µkat/L); E: HDL (mg/dL, multiply by 0,0259 for SI units: mmol/L); F: LDL (mg/dL, multiply by 0,0259 for SI units: mmol/L); G: creatinine (mg/dL, multiply by 88,4 for SI units: µmol/L); H: Sex Hormone-Binding Globulin (nmol/L); I: Luteinizing Hormone (U/L); J: Estradiol (ng/L, multiply by 3,671 for SI units: pmol/L); K: Testosterone (ng/dL, multiply by 0,0347 for SI units: nmol/L); L: free Testosterone (ng/dL, multiply by 34,7 for SI units: pmol/L). L: lynestrenol monotherapy; L+T: lynestrenol and testosterone esters combination therapy. AST/ALT: Aspartate/Alanine Amino Transferase; HDL/LDL: High/Low Density Lipoprotein.</w:t>
      </w:r>
    </w:p>
    <w:p w14:paraId="7BFA2CCF" w14:textId="77777777" w:rsidR="00E80ADC" w:rsidRDefault="00E80ADC">
      <w:pPr>
        <w:rPr>
          <w:lang w:val="en-GB"/>
        </w:rPr>
        <w:sectPr w:rsidR="00E80ADC" w:rsidSect="008C6E26">
          <w:pgSz w:w="11906" w:h="16838"/>
          <w:pgMar w:top="1417" w:right="1417" w:bottom="1417" w:left="1417" w:header="708" w:footer="708" w:gutter="0"/>
          <w:pgNumType w:start="1"/>
          <w:cols w:space="708"/>
          <w:docGrid w:linePitch="360"/>
        </w:sectPr>
      </w:pPr>
      <w:r>
        <w:rPr>
          <w:lang w:val="en-GB"/>
        </w:rPr>
        <w:br w:type="page"/>
      </w:r>
    </w:p>
    <w:p w14:paraId="11F84930" w14:textId="1A4B6E8D" w:rsidR="00E80ADC" w:rsidRPr="006E08CD" w:rsidRDefault="00E80ADC" w:rsidP="00E80ADC">
      <w:pPr>
        <w:spacing w:after="0"/>
        <w:rPr>
          <w:lang w:val="en-GB"/>
        </w:rPr>
      </w:pPr>
      <w:r w:rsidRPr="0047717D">
        <w:rPr>
          <w:b/>
          <w:lang w:val="en-GB"/>
        </w:rPr>
        <w:lastRenderedPageBreak/>
        <w:t xml:space="preserve">Table </w:t>
      </w:r>
      <w:r w:rsidR="00A44497">
        <w:rPr>
          <w:b/>
          <w:lang w:val="en-GB"/>
        </w:rPr>
        <w:t>6</w:t>
      </w:r>
      <w:r w:rsidRPr="0047717D">
        <w:rPr>
          <w:b/>
          <w:lang w:val="en-GB"/>
        </w:rPr>
        <w:t>.</w:t>
      </w:r>
      <w:r w:rsidRPr="006E08CD">
        <w:rPr>
          <w:lang w:val="en-GB"/>
        </w:rPr>
        <w:t xml:space="preserve"> Summary of analysis of biochemical data.</w:t>
      </w:r>
    </w:p>
    <w:tbl>
      <w:tblPr>
        <w:tblStyle w:val="Tabelraster"/>
        <w:tblW w:w="14000" w:type="dxa"/>
        <w:tblLayout w:type="fixed"/>
        <w:tblLook w:val="04A0" w:firstRow="1" w:lastRow="0" w:firstColumn="1" w:lastColumn="0" w:noHBand="0" w:noVBand="1"/>
      </w:tblPr>
      <w:tblGrid>
        <w:gridCol w:w="3227"/>
        <w:gridCol w:w="1044"/>
        <w:gridCol w:w="1045"/>
        <w:gridCol w:w="1045"/>
        <w:gridCol w:w="1044"/>
        <w:gridCol w:w="1045"/>
        <w:gridCol w:w="1045"/>
        <w:gridCol w:w="1044"/>
        <w:gridCol w:w="1193"/>
        <w:gridCol w:w="992"/>
        <w:gridCol w:w="1276"/>
      </w:tblGrid>
      <w:tr w:rsidR="00E80ADC" w:rsidRPr="008637FE" w14:paraId="27EB596F" w14:textId="77777777" w:rsidTr="0087586D">
        <w:trPr>
          <w:trHeight w:val="300"/>
        </w:trPr>
        <w:tc>
          <w:tcPr>
            <w:tcW w:w="3227" w:type="dxa"/>
            <w:tcBorders>
              <w:bottom w:val="single" w:sz="4" w:space="0" w:color="auto"/>
            </w:tcBorders>
            <w:shd w:val="clear" w:color="auto" w:fill="FFFFFF" w:themeFill="background1"/>
            <w:noWrap/>
            <w:hideMark/>
          </w:tcPr>
          <w:p w14:paraId="7D1C65B7" w14:textId="77777777" w:rsidR="00E80ADC" w:rsidRDefault="00E80ADC" w:rsidP="00E64253">
            <w:pPr>
              <w:jc w:val="center"/>
              <w:rPr>
                <w:b/>
                <w:sz w:val="16"/>
                <w:szCs w:val="16"/>
                <w:lang w:val="en-GB"/>
              </w:rPr>
            </w:pPr>
            <w:r w:rsidRPr="000276D1">
              <w:rPr>
                <w:b/>
                <w:sz w:val="16"/>
                <w:szCs w:val="16"/>
                <w:lang w:val="en-GB"/>
              </w:rPr>
              <w:t>Test</w:t>
            </w:r>
          </w:p>
          <w:p w14:paraId="45770EEC" w14:textId="77777777" w:rsidR="00E80ADC" w:rsidRPr="00DC6CF6" w:rsidRDefault="00E80ADC" w:rsidP="00E64253">
            <w:pPr>
              <w:jc w:val="center"/>
              <w:rPr>
                <w:sz w:val="16"/>
                <w:szCs w:val="16"/>
                <w:lang w:val="en-GB"/>
              </w:rPr>
            </w:pPr>
            <w:r w:rsidRPr="00DC6CF6">
              <w:rPr>
                <w:sz w:val="16"/>
                <w:szCs w:val="16"/>
                <w:lang w:val="en-GB"/>
              </w:rPr>
              <w:t>Method of measurement</w:t>
            </w:r>
          </w:p>
        </w:tc>
        <w:tc>
          <w:tcPr>
            <w:tcW w:w="1044" w:type="dxa"/>
            <w:shd w:val="clear" w:color="auto" w:fill="FFFFFF" w:themeFill="background1"/>
            <w:noWrap/>
            <w:hideMark/>
          </w:tcPr>
          <w:p w14:paraId="03844DE1" w14:textId="77777777" w:rsidR="00E80ADC" w:rsidRPr="000276D1" w:rsidRDefault="00E80ADC" w:rsidP="00E64253">
            <w:pPr>
              <w:jc w:val="center"/>
              <w:rPr>
                <w:b/>
                <w:sz w:val="16"/>
                <w:szCs w:val="16"/>
                <w:lang w:val="en-GB"/>
              </w:rPr>
            </w:pPr>
            <w:r w:rsidRPr="000276D1">
              <w:rPr>
                <w:b/>
                <w:sz w:val="16"/>
                <w:szCs w:val="16"/>
                <w:lang w:val="en-GB"/>
              </w:rPr>
              <w:t>L0</w:t>
            </w:r>
          </w:p>
        </w:tc>
        <w:tc>
          <w:tcPr>
            <w:tcW w:w="1045" w:type="dxa"/>
            <w:shd w:val="clear" w:color="auto" w:fill="FFFFFF" w:themeFill="background1"/>
            <w:noWrap/>
            <w:hideMark/>
          </w:tcPr>
          <w:p w14:paraId="05AC5190" w14:textId="77777777" w:rsidR="00E80ADC" w:rsidRPr="000276D1" w:rsidRDefault="00E80ADC" w:rsidP="00E64253">
            <w:pPr>
              <w:jc w:val="center"/>
              <w:rPr>
                <w:b/>
                <w:sz w:val="16"/>
                <w:szCs w:val="16"/>
                <w:lang w:val="en-GB"/>
              </w:rPr>
            </w:pPr>
            <w:r w:rsidRPr="000276D1">
              <w:rPr>
                <w:b/>
                <w:sz w:val="16"/>
                <w:szCs w:val="16"/>
                <w:lang w:val="en-GB"/>
              </w:rPr>
              <w:t>L6m</w:t>
            </w:r>
          </w:p>
        </w:tc>
        <w:tc>
          <w:tcPr>
            <w:tcW w:w="1045" w:type="dxa"/>
            <w:shd w:val="clear" w:color="auto" w:fill="FFFFFF" w:themeFill="background1"/>
            <w:noWrap/>
            <w:hideMark/>
          </w:tcPr>
          <w:p w14:paraId="3EC1A3DB" w14:textId="77777777" w:rsidR="00E80ADC" w:rsidRPr="000276D1" w:rsidRDefault="00E80ADC" w:rsidP="00E64253">
            <w:pPr>
              <w:jc w:val="center"/>
              <w:rPr>
                <w:b/>
                <w:i/>
                <w:sz w:val="16"/>
                <w:szCs w:val="16"/>
                <w:lang w:val="en-GB"/>
              </w:rPr>
            </w:pPr>
            <w:r w:rsidRPr="000276D1">
              <w:rPr>
                <w:b/>
                <w:i/>
                <w:sz w:val="16"/>
                <w:szCs w:val="16"/>
                <w:lang w:val="en-GB"/>
              </w:rPr>
              <w:t>P (L0-6m)</w:t>
            </w:r>
          </w:p>
        </w:tc>
        <w:tc>
          <w:tcPr>
            <w:tcW w:w="1044" w:type="dxa"/>
            <w:shd w:val="clear" w:color="auto" w:fill="FFFFFF" w:themeFill="background1"/>
            <w:noWrap/>
            <w:hideMark/>
          </w:tcPr>
          <w:p w14:paraId="25B7D849" w14:textId="77777777" w:rsidR="00E80ADC" w:rsidRPr="000276D1" w:rsidRDefault="00E80ADC" w:rsidP="00E64253">
            <w:pPr>
              <w:jc w:val="center"/>
              <w:rPr>
                <w:b/>
                <w:sz w:val="16"/>
                <w:szCs w:val="16"/>
                <w:lang w:val="en-GB"/>
              </w:rPr>
            </w:pPr>
            <w:r w:rsidRPr="000276D1">
              <w:rPr>
                <w:b/>
                <w:sz w:val="16"/>
                <w:szCs w:val="16"/>
                <w:lang w:val="en-GB"/>
              </w:rPr>
              <w:t>L12m</w:t>
            </w:r>
          </w:p>
        </w:tc>
        <w:tc>
          <w:tcPr>
            <w:tcW w:w="1045" w:type="dxa"/>
            <w:shd w:val="clear" w:color="auto" w:fill="FFFFFF" w:themeFill="background1"/>
            <w:noWrap/>
            <w:hideMark/>
          </w:tcPr>
          <w:p w14:paraId="18F12630" w14:textId="77777777" w:rsidR="00E80ADC" w:rsidRPr="000276D1" w:rsidRDefault="00E80ADC" w:rsidP="00E64253">
            <w:pPr>
              <w:jc w:val="center"/>
              <w:rPr>
                <w:b/>
                <w:i/>
                <w:sz w:val="16"/>
                <w:szCs w:val="16"/>
                <w:lang w:val="en-GB"/>
              </w:rPr>
            </w:pPr>
            <w:r w:rsidRPr="000276D1">
              <w:rPr>
                <w:b/>
                <w:i/>
                <w:sz w:val="16"/>
                <w:szCs w:val="16"/>
                <w:lang w:val="en-GB"/>
              </w:rPr>
              <w:t>P (L0-12m)</w:t>
            </w:r>
          </w:p>
        </w:tc>
        <w:tc>
          <w:tcPr>
            <w:tcW w:w="1045" w:type="dxa"/>
            <w:shd w:val="clear" w:color="auto" w:fill="FFFFFF" w:themeFill="background1"/>
            <w:noWrap/>
            <w:hideMark/>
          </w:tcPr>
          <w:p w14:paraId="7652C5B8" w14:textId="6CA8C61E" w:rsidR="00E80ADC" w:rsidRPr="000276D1" w:rsidRDefault="00E80ADC" w:rsidP="00E64253">
            <w:pPr>
              <w:jc w:val="center"/>
              <w:rPr>
                <w:b/>
                <w:sz w:val="16"/>
                <w:szCs w:val="16"/>
                <w:lang w:val="en-GB"/>
              </w:rPr>
            </w:pPr>
            <w:r w:rsidRPr="000276D1">
              <w:rPr>
                <w:b/>
                <w:sz w:val="16"/>
                <w:szCs w:val="16"/>
                <w:lang w:val="en-GB"/>
              </w:rPr>
              <w:t>L+T</w:t>
            </w:r>
            <w:r w:rsidR="0087586D">
              <w:rPr>
                <w:b/>
                <w:sz w:val="16"/>
                <w:szCs w:val="16"/>
                <w:lang w:val="en-GB"/>
              </w:rPr>
              <w:t>E</w:t>
            </w:r>
            <w:r w:rsidRPr="000276D1">
              <w:rPr>
                <w:b/>
                <w:sz w:val="16"/>
                <w:szCs w:val="16"/>
                <w:lang w:val="en-GB"/>
              </w:rPr>
              <w:t>0</w:t>
            </w:r>
          </w:p>
        </w:tc>
        <w:tc>
          <w:tcPr>
            <w:tcW w:w="1044" w:type="dxa"/>
            <w:shd w:val="clear" w:color="auto" w:fill="FFFFFF" w:themeFill="background1"/>
            <w:noWrap/>
            <w:hideMark/>
          </w:tcPr>
          <w:p w14:paraId="60780C38" w14:textId="4A0541A6" w:rsidR="00E80ADC" w:rsidRPr="000276D1" w:rsidRDefault="00E80ADC" w:rsidP="00E64253">
            <w:pPr>
              <w:jc w:val="center"/>
              <w:rPr>
                <w:b/>
                <w:sz w:val="16"/>
                <w:szCs w:val="16"/>
                <w:lang w:val="en-GB"/>
              </w:rPr>
            </w:pPr>
            <w:r w:rsidRPr="000276D1">
              <w:rPr>
                <w:b/>
                <w:sz w:val="16"/>
                <w:szCs w:val="16"/>
                <w:lang w:val="en-GB"/>
              </w:rPr>
              <w:t>L+T</w:t>
            </w:r>
            <w:r w:rsidR="0087586D">
              <w:rPr>
                <w:b/>
                <w:sz w:val="16"/>
                <w:szCs w:val="16"/>
                <w:lang w:val="en-GB"/>
              </w:rPr>
              <w:t>E</w:t>
            </w:r>
            <w:r w:rsidRPr="000276D1">
              <w:rPr>
                <w:b/>
                <w:sz w:val="16"/>
                <w:szCs w:val="16"/>
                <w:lang w:val="en-GB"/>
              </w:rPr>
              <w:t>6m</w:t>
            </w:r>
          </w:p>
        </w:tc>
        <w:tc>
          <w:tcPr>
            <w:tcW w:w="1193" w:type="dxa"/>
            <w:shd w:val="clear" w:color="auto" w:fill="FFFFFF" w:themeFill="background1"/>
            <w:noWrap/>
            <w:hideMark/>
          </w:tcPr>
          <w:p w14:paraId="78799B3B" w14:textId="33A25FCF" w:rsidR="00E80ADC" w:rsidRPr="000276D1" w:rsidRDefault="00E80ADC" w:rsidP="00E64253">
            <w:pPr>
              <w:jc w:val="center"/>
              <w:rPr>
                <w:b/>
                <w:i/>
                <w:sz w:val="16"/>
                <w:szCs w:val="16"/>
                <w:lang w:val="en-GB"/>
              </w:rPr>
            </w:pPr>
            <w:r w:rsidRPr="000276D1">
              <w:rPr>
                <w:b/>
                <w:i/>
                <w:sz w:val="16"/>
                <w:szCs w:val="16"/>
                <w:lang w:val="en-GB"/>
              </w:rPr>
              <w:t>P (L+T</w:t>
            </w:r>
            <w:r w:rsidR="0087586D">
              <w:rPr>
                <w:b/>
                <w:i/>
                <w:sz w:val="16"/>
                <w:szCs w:val="16"/>
                <w:lang w:val="en-GB"/>
              </w:rPr>
              <w:t>E</w:t>
            </w:r>
            <w:r w:rsidRPr="000276D1">
              <w:rPr>
                <w:b/>
                <w:i/>
                <w:sz w:val="16"/>
                <w:szCs w:val="16"/>
                <w:lang w:val="en-GB"/>
              </w:rPr>
              <w:t>0-6m)</w:t>
            </w:r>
          </w:p>
        </w:tc>
        <w:tc>
          <w:tcPr>
            <w:tcW w:w="992" w:type="dxa"/>
            <w:shd w:val="clear" w:color="auto" w:fill="FFFFFF" w:themeFill="background1"/>
            <w:noWrap/>
            <w:hideMark/>
          </w:tcPr>
          <w:p w14:paraId="6C450CEF" w14:textId="4005A87E" w:rsidR="00E80ADC" w:rsidRPr="000276D1" w:rsidRDefault="00E80ADC" w:rsidP="00E64253">
            <w:pPr>
              <w:jc w:val="center"/>
              <w:rPr>
                <w:b/>
                <w:sz w:val="16"/>
                <w:szCs w:val="16"/>
                <w:lang w:val="en-GB"/>
              </w:rPr>
            </w:pPr>
            <w:r w:rsidRPr="000276D1">
              <w:rPr>
                <w:b/>
                <w:sz w:val="16"/>
                <w:szCs w:val="16"/>
                <w:lang w:val="en-GB"/>
              </w:rPr>
              <w:t>L+T</w:t>
            </w:r>
            <w:r w:rsidR="0087586D">
              <w:rPr>
                <w:b/>
                <w:sz w:val="16"/>
                <w:szCs w:val="16"/>
                <w:lang w:val="en-GB"/>
              </w:rPr>
              <w:t>E</w:t>
            </w:r>
            <w:r w:rsidRPr="000276D1">
              <w:rPr>
                <w:b/>
                <w:sz w:val="16"/>
                <w:szCs w:val="16"/>
                <w:lang w:val="en-GB"/>
              </w:rPr>
              <w:t>12m</w:t>
            </w:r>
          </w:p>
        </w:tc>
        <w:tc>
          <w:tcPr>
            <w:tcW w:w="1276" w:type="dxa"/>
            <w:shd w:val="clear" w:color="auto" w:fill="FFFFFF" w:themeFill="background1"/>
            <w:noWrap/>
            <w:hideMark/>
          </w:tcPr>
          <w:p w14:paraId="300E193F" w14:textId="2A9A04A0" w:rsidR="00E80ADC" w:rsidRPr="000276D1" w:rsidRDefault="00E80ADC" w:rsidP="00E64253">
            <w:pPr>
              <w:jc w:val="center"/>
              <w:rPr>
                <w:b/>
                <w:i/>
                <w:sz w:val="16"/>
                <w:szCs w:val="16"/>
                <w:lang w:val="en-GB"/>
              </w:rPr>
            </w:pPr>
            <w:r w:rsidRPr="000276D1">
              <w:rPr>
                <w:b/>
                <w:i/>
                <w:sz w:val="16"/>
                <w:szCs w:val="16"/>
                <w:lang w:val="en-GB"/>
              </w:rPr>
              <w:t>P (L+T</w:t>
            </w:r>
            <w:r w:rsidR="0087586D">
              <w:rPr>
                <w:b/>
                <w:i/>
                <w:sz w:val="16"/>
                <w:szCs w:val="16"/>
                <w:lang w:val="en-GB"/>
              </w:rPr>
              <w:t>E</w:t>
            </w:r>
            <w:r w:rsidRPr="000276D1">
              <w:rPr>
                <w:b/>
                <w:i/>
                <w:sz w:val="16"/>
                <w:szCs w:val="16"/>
                <w:lang w:val="en-GB"/>
              </w:rPr>
              <w:t>0-</w:t>
            </w:r>
            <w:r w:rsidRPr="000276D1">
              <w:rPr>
                <w:b/>
                <w:i/>
                <w:sz w:val="16"/>
                <w:szCs w:val="16"/>
              </w:rPr>
              <w:t>12m)</w:t>
            </w:r>
          </w:p>
        </w:tc>
      </w:tr>
      <w:tr w:rsidR="00E80ADC" w:rsidRPr="00C851D8" w14:paraId="394D6CDE" w14:textId="77777777" w:rsidTr="0087586D">
        <w:trPr>
          <w:trHeight w:val="300"/>
        </w:trPr>
        <w:tc>
          <w:tcPr>
            <w:tcW w:w="3227" w:type="dxa"/>
            <w:vMerge w:val="restart"/>
            <w:shd w:val="clear" w:color="auto" w:fill="FFFFFF" w:themeFill="background1"/>
            <w:noWrap/>
            <w:hideMark/>
          </w:tcPr>
          <w:p w14:paraId="0AD2BF1C" w14:textId="3C14A96B" w:rsidR="00E80ADC" w:rsidRPr="00947B45" w:rsidRDefault="00E80ADC" w:rsidP="00E64253">
            <w:pPr>
              <w:rPr>
                <w:sz w:val="18"/>
                <w:szCs w:val="18"/>
                <w:lang w:val="en-US"/>
              </w:rPr>
            </w:pPr>
            <w:r w:rsidRPr="00947B45">
              <w:rPr>
                <w:b/>
                <w:sz w:val="18"/>
                <w:szCs w:val="18"/>
                <w:lang w:val="en-US"/>
              </w:rPr>
              <w:t>Hemoglobin</w:t>
            </w:r>
            <w:r w:rsidR="003D29B1" w:rsidRPr="00947B45">
              <w:rPr>
                <w:b/>
                <w:sz w:val="18"/>
                <w:szCs w:val="18"/>
                <w:lang w:val="en-US"/>
              </w:rPr>
              <w:t xml:space="preserve"> (g/L)</w:t>
            </w:r>
          </w:p>
          <w:p w14:paraId="51FA4919" w14:textId="77777777" w:rsidR="00E80ADC" w:rsidRPr="00947B45" w:rsidRDefault="00E80ADC" w:rsidP="00E64253">
            <w:pPr>
              <w:rPr>
                <w:sz w:val="18"/>
                <w:szCs w:val="18"/>
                <w:lang w:val="en-US"/>
              </w:rPr>
            </w:pPr>
            <w:r w:rsidRPr="00C851D8">
              <w:rPr>
                <w:sz w:val="16"/>
                <w:szCs w:val="16"/>
                <w:lang w:val="en-GB"/>
              </w:rPr>
              <w:t>Spectrophotometry (Sysmex XE-5000)</w:t>
            </w:r>
          </w:p>
        </w:tc>
        <w:tc>
          <w:tcPr>
            <w:tcW w:w="1044" w:type="dxa"/>
            <w:noWrap/>
            <w:vAlign w:val="bottom"/>
            <w:hideMark/>
          </w:tcPr>
          <w:p w14:paraId="09D31934" w14:textId="77777777" w:rsidR="00E80ADC" w:rsidRPr="00C851D8" w:rsidRDefault="00E80ADC" w:rsidP="00E64253">
            <w:pPr>
              <w:jc w:val="right"/>
              <w:rPr>
                <w:rFonts w:ascii="Calibri" w:hAnsi="Calibri"/>
                <w:sz w:val="18"/>
                <w:szCs w:val="18"/>
              </w:rPr>
            </w:pPr>
            <w:r w:rsidRPr="00C851D8">
              <w:rPr>
                <w:rFonts w:ascii="Calibri" w:hAnsi="Calibri"/>
                <w:sz w:val="18"/>
                <w:szCs w:val="18"/>
              </w:rPr>
              <w:t>133,7</w:t>
            </w:r>
          </w:p>
        </w:tc>
        <w:tc>
          <w:tcPr>
            <w:tcW w:w="1045" w:type="dxa"/>
            <w:noWrap/>
            <w:vAlign w:val="bottom"/>
            <w:hideMark/>
          </w:tcPr>
          <w:p w14:paraId="027AA08F" w14:textId="77777777" w:rsidR="00E80ADC" w:rsidRPr="00C851D8" w:rsidRDefault="00E80ADC" w:rsidP="00E64253">
            <w:pPr>
              <w:jc w:val="right"/>
              <w:rPr>
                <w:rFonts w:ascii="Calibri" w:hAnsi="Calibri"/>
                <w:sz w:val="18"/>
                <w:szCs w:val="18"/>
              </w:rPr>
            </w:pPr>
            <w:r w:rsidRPr="00C851D8">
              <w:rPr>
                <w:rFonts w:ascii="Calibri" w:hAnsi="Calibri"/>
                <w:sz w:val="18"/>
                <w:szCs w:val="18"/>
              </w:rPr>
              <w:t>142,4</w:t>
            </w:r>
          </w:p>
        </w:tc>
        <w:tc>
          <w:tcPr>
            <w:tcW w:w="1045" w:type="dxa"/>
            <w:noWrap/>
            <w:vAlign w:val="bottom"/>
            <w:hideMark/>
          </w:tcPr>
          <w:p w14:paraId="356E380F"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&lt;0,001</w:t>
            </w:r>
          </w:p>
        </w:tc>
        <w:tc>
          <w:tcPr>
            <w:tcW w:w="1044" w:type="dxa"/>
            <w:noWrap/>
            <w:vAlign w:val="bottom"/>
            <w:hideMark/>
          </w:tcPr>
          <w:p w14:paraId="60697470" w14:textId="77777777" w:rsidR="00E80ADC" w:rsidRPr="00C851D8" w:rsidRDefault="00E80ADC" w:rsidP="00E64253">
            <w:pPr>
              <w:jc w:val="right"/>
              <w:rPr>
                <w:rFonts w:ascii="Calibri" w:hAnsi="Calibri"/>
                <w:sz w:val="18"/>
                <w:szCs w:val="18"/>
              </w:rPr>
            </w:pPr>
            <w:r w:rsidRPr="00C851D8">
              <w:rPr>
                <w:rFonts w:ascii="Calibri" w:hAnsi="Calibri"/>
                <w:sz w:val="18"/>
                <w:szCs w:val="18"/>
              </w:rPr>
              <w:t>141,4</w:t>
            </w:r>
          </w:p>
        </w:tc>
        <w:tc>
          <w:tcPr>
            <w:tcW w:w="1045" w:type="dxa"/>
            <w:noWrap/>
            <w:vAlign w:val="bottom"/>
            <w:hideMark/>
          </w:tcPr>
          <w:p w14:paraId="48A4C720"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0,001</w:t>
            </w:r>
          </w:p>
        </w:tc>
        <w:tc>
          <w:tcPr>
            <w:tcW w:w="1045" w:type="dxa"/>
            <w:noWrap/>
            <w:vAlign w:val="bottom"/>
            <w:hideMark/>
          </w:tcPr>
          <w:p w14:paraId="7477F9AD" w14:textId="77777777" w:rsidR="00E80ADC" w:rsidRPr="00C851D8" w:rsidRDefault="00E80ADC" w:rsidP="00E64253">
            <w:pPr>
              <w:jc w:val="right"/>
              <w:rPr>
                <w:rFonts w:ascii="Calibri" w:hAnsi="Calibri"/>
                <w:sz w:val="18"/>
                <w:szCs w:val="18"/>
              </w:rPr>
            </w:pPr>
            <w:r w:rsidRPr="00C851D8">
              <w:rPr>
                <w:rFonts w:ascii="Calibri" w:hAnsi="Calibri"/>
                <w:sz w:val="18"/>
                <w:szCs w:val="18"/>
              </w:rPr>
              <w:t>143,3</w:t>
            </w:r>
          </w:p>
        </w:tc>
        <w:tc>
          <w:tcPr>
            <w:tcW w:w="1044" w:type="dxa"/>
            <w:noWrap/>
            <w:vAlign w:val="bottom"/>
            <w:hideMark/>
          </w:tcPr>
          <w:p w14:paraId="39B266FF" w14:textId="77777777" w:rsidR="00E80ADC" w:rsidRPr="00C851D8" w:rsidRDefault="00E80ADC" w:rsidP="00E64253">
            <w:pPr>
              <w:jc w:val="right"/>
              <w:rPr>
                <w:rFonts w:ascii="Calibri" w:hAnsi="Calibri"/>
                <w:sz w:val="18"/>
                <w:szCs w:val="18"/>
              </w:rPr>
            </w:pPr>
            <w:r w:rsidRPr="00C851D8">
              <w:rPr>
                <w:rFonts w:ascii="Calibri" w:hAnsi="Calibri"/>
                <w:sz w:val="18"/>
                <w:szCs w:val="18"/>
              </w:rPr>
              <w:t>148,5</w:t>
            </w:r>
          </w:p>
        </w:tc>
        <w:tc>
          <w:tcPr>
            <w:tcW w:w="1193" w:type="dxa"/>
            <w:noWrap/>
            <w:vAlign w:val="bottom"/>
            <w:hideMark/>
          </w:tcPr>
          <w:p w14:paraId="0C2615F0"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&lt;0,001</w:t>
            </w:r>
          </w:p>
        </w:tc>
        <w:tc>
          <w:tcPr>
            <w:tcW w:w="992" w:type="dxa"/>
            <w:noWrap/>
            <w:vAlign w:val="bottom"/>
            <w:hideMark/>
          </w:tcPr>
          <w:p w14:paraId="2C244EBD" w14:textId="77777777" w:rsidR="00E80ADC" w:rsidRPr="00C851D8" w:rsidRDefault="00E80ADC" w:rsidP="00E64253">
            <w:pPr>
              <w:jc w:val="right"/>
              <w:rPr>
                <w:rFonts w:ascii="Calibri" w:hAnsi="Calibri"/>
                <w:sz w:val="18"/>
                <w:szCs w:val="18"/>
              </w:rPr>
            </w:pPr>
            <w:r w:rsidRPr="00C851D8">
              <w:rPr>
                <w:rFonts w:ascii="Calibri" w:hAnsi="Calibri"/>
                <w:sz w:val="18"/>
                <w:szCs w:val="18"/>
              </w:rPr>
              <w:t>149,7</w:t>
            </w:r>
          </w:p>
        </w:tc>
        <w:tc>
          <w:tcPr>
            <w:tcW w:w="1276" w:type="dxa"/>
            <w:noWrap/>
            <w:vAlign w:val="bottom"/>
            <w:hideMark/>
          </w:tcPr>
          <w:p w14:paraId="07ED6522"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&lt;0,001</w:t>
            </w:r>
          </w:p>
        </w:tc>
      </w:tr>
      <w:tr w:rsidR="00E80ADC" w:rsidRPr="002A729A" w14:paraId="1273908E" w14:textId="77777777" w:rsidTr="0087586D">
        <w:trPr>
          <w:trHeight w:val="300"/>
        </w:trPr>
        <w:tc>
          <w:tcPr>
            <w:tcW w:w="3227" w:type="dxa"/>
            <w:vMerge/>
            <w:shd w:val="clear" w:color="auto" w:fill="FFFFFF" w:themeFill="background1"/>
            <w:noWrap/>
            <w:hideMark/>
          </w:tcPr>
          <w:p w14:paraId="6A565E3B" w14:textId="77777777" w:rsidR="00E80ADC" w:rsidRPr="00C851D8" w:rsidRDefault="00E80ADC" w:rsidP="00E64253">
            <w:pPr>
              <w:rPr>
                <w:b/>
                <w:sz w:val="18"/>
                <w:szCs w:val="18"/>
              </w:rPr>
            </w:pPr>
          </w:p>
        </w:tc>
        <w:tc>
          <w:tcPr>
            <w:tcW w:w="10773" w:type="dxa"/>
            <w:gridSpan w:val="10"/>
            <w:noWrap/>
            <w:vAlign w:val="bottom"/>
            <w:hideMark/>
          </w:tcPr>
          <w:p w14:paraId="0E69F89E" w14:textId="77777777" w:rsidR="00E80ADC" w:rsidRPr="00C851D8" w:rsidRDefault="00E80ADC" w:rsidP="00E64253">
            <w:pPr>
              <w:jc w:val="center"/>
              <w:rPr>
                <w:rFonts w:ascii="Calibri" w:hAnsi="Calibri"/>
                <w:b/>
                <w:sz w:val="18"/>
                <w:szCs w:val="18"/>
                <w:lang w:val="en-GB"/>
              </w:rPr>
            </w:pPr>
            <w:r w:rsidRPr="00C851D8">
              <w:rPr>
                <w:rFonts w:ascii="Calibri" w:hAnsi="Calibri"/>
                <w:b/>
                <w:sz w:val="18"/>
                <w:szCs w:val="18"/>
                <w:lang w:val="en-GB"/>
              </w:rPr>
              <w:t>Reference (g/L): M&lt;18y: 130-160, M&gt;18y: 129-173, F&lt;18y: 120-160, F&gt;18y: 118-148</w:t>
            </w:r>
          </w:p>
        </w:tc>
      </w:tr>
      <w:tr w:rsidR="00E80ADC" w:rsidRPr="00C851D8" w14:paraId="755A5CEA" w14:textId="77777777" w:rsidTr="0087586D">
        <w:trPr>
          <w:trHeight w:val="300"/>
        </w:trPr>
        <w:tc>
          <w:tcPr>
            <w:tcW w:w="3227" w:type="dxa"/>
            <w:vMerge w:val="restart"/>
            <w:shd w:val="clear" w:color="auto" w:fill="FFFFFF" w:themeFill="background1"/>
            <w:noWrap/>
            <w:hideMark/>
          </w:tcPr>
          <w:p w14:paraId="767D522D" w14:textId="77777777" w:rsidR="00E80ADC" w:rsidRPr="00FD0654" w:rsidRDefault="00E80ADC" w:rsidP="00E64253">
            <w:pPr>
              <w:rPr>
                <w:sz w:val="18"/>
                <w:szCs w:val="18"/>
                <w:lang w:val="en-GB"/>
              </w:rPr>
            </w:pPr>
            <w:r w:rsidRPr="00FD0654">
              <w:rPr>
                <w:b/>
                <w:sz w:val="18"/>
                <w:szCs w:val="18"/>
                <w:lang w:val="en-GB"/>
              </w:rPr>
              <w:t>Hematocrit</w:t>
            </w:r>
          </w:p>
          <w:p w14:paraId="40C68A33" w14:textId="77777777" w:rsidR="00E80ADC" w:rsidRPr="00FD0654" w:rsidRDefault="00E80ADC" w:rsidP="00E64253">
            <w:pPr>
              <w:rPr>
                <w:sz w:val="18"/>
                <w:szCs w:val="18"/>
                <w:lang w:val="en-GB"/>
              </w:rPr>
            </w:pPr>
            <w:r w:rsidRPr="00C851D8">
              <w:rPr>
                <w:sz w:val="16"/>
                <w:szCs w:val="16"/>
                <w:lang w:val="en-GB"/>
              </w:rPr>
              <w:t>DC impendance (Sysmex XE-5000)</w:t>
            </w:r>
          </w:p>
        </w:tc>
        <w:tc>
          <w:tcPr>
            <w:tcW w:w="1044" w:type="dxa"/>
            <w:noWrap/>
            <w:vAlign w:val="bottom"/>
            <w:hideMark/>
          </w:tcPr>
          <w:p w14:paraId="1BB09820" w14:textId="77777777" w:rsidR="00E80ADC" w:rsidRPr="00C851D8" w:rsidRDefault="00E80ADC" w:rsidP="00E64253">
            <w:pPr>
              <w:jc w:val="right"/>
              <w:rPr>
                <w:rFonts w:ascii="Calibri" w:hAnsi="Calibri"/>
                <w:sz w:val="18"/>
                <w:szCs w:val="18"/>
              </w:rPr>
            </w:pPr>
            <w:r w:rsidRPr="00C851D8">
              <w:rPr>
                <w:rFonts w:ascii="Calibri" w:hAnsi="Calibri"/>
                <w:sz w:val="18"/>
                <w:szCs w:val="18"/>
              </w:rPr>
              <w:t>0,400</w:t>
            </w:r>
          </w:p>
        </w:tc>
        <w:tc>
          <w:tcPr>
            <w:tcW w:w="1045" w:type="dxa"/>
            <w:noWrap/>
            <w:vAlign w:val="bottom"/>
            <w:hideMark/>
          </w:tcPr>
          <w:p w14:paraId="60C8D60B" w14:textId="77777777" w:rsidR="00E80ADC" w:rsidRPr="00C851D8" w:rsidRDefault="00E80ADC" w:rsidP="00E64253">
            <w:pPr>
              <w:jc w:val="right"/>
              <w:rPr>
                <w:rFonts w:ascii="Calibri" w:hAnsi="Calibri"/>
                <w:sz w:val="18"/>
                <w:szCs w:val="18"/>
              </w:rPr>
            </w:pPr>
            <w:r w:rsidRPr="00C851D8">
              <w:rPr>
                <w:rFonts w:ascii="Calibri" w:hAnsi="Calibri"/>
                <w:sz w:val="18"/>
                <w:szCs w:val="18"/>
              </w:rPr>
              <w:t>0,417</w:t>
            </w:r>
          </w:p>
        </w:tc>
        <w:tc>
          <w:tcPr>
            <w:tcW w:w="1045" w:type="dxa"/>
            <w:noWrap/>
            <w:vAlign w:val="bottom"/>
            <w:hideMark/>
          </w:tcPr>
          <w:p w14:paraId="13C85CB5"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&lt;0,001</w:t>
            </w:r>
          </w:p>
        </w:tc>
        <w:tc>
          <w:tcPr>
            <w:tcW w:w="1044" w:type="dxa"/>
            <w:noWrap/>
            <w:vAlign w:val="bottom"/>
            <w:hideMark/>
          </w:tcPr>
          <w:p w14:paraId="08995723" w14:textId="77777777" w:rsidR="00E80ADC" w:rsidRPr="00C851D8" w:rsidRDefault="00E80ADC" w:rsidP="00E64253">
            <w:pPr>
              <w:jc w:val="right"/>
              <w:rPr>
                <w:rFonts w:ascii="Calibri" w:hAnsi="Calibri"/>
                <w:sz w:val="18"/>
                <w:szCs w:val="18"/>
              </w:rPr>
            </w:pPr>
            <w:r w:rsidRPr="00C851D8">
              <w:rPr>
                <w:rFonts w:ascii="Calibri" w:hAnsi="Calibri"/>
                <w:sz w:val="18"/>
                <w:szCs w:val="18"/>
              </w:rPr>
              <w:t>0,418</w:t>
            </w:r>
          </w:p>
        </w:tc>
        <w:tc>
          <w:tcPr>
            <w:tcW w:w="1045" w:type="dxa"/>
            <w:noWrap/>
            <w:vAlign w:val="bottom"/>
            <w:hideMark/>
          </w:tcPr>
          <w:p w14:paraId="7DB082D9"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0,003</w:t>
            </w:r>
          </w:p>
        </w:tc>
        <w:tc>
          <w:tcPr>
            <w:tcW w:w="1045" w:type="dxa"/>
            <w:noWrap/>
            <w:vAlign w:val="bottom"/>
            <w:hideMark/>
          </w:tcPr>
          <w:p w14:paraId="7798B451" w14:textId="77777777" w:rsidR="00E80ADC" w:rsidRPr="00C851D8" w:rsidRDefault="00E80ADC" w:rsidP="00E64253">
            <w:pPr>
              <w:jc w:val="right"/>
              <w:rPr>
                <w:rFonts w:ascii="Calibri" w:hAnsi="Calibri"/>
                <w:sz w:val="18"/>
                <w:szCs w:val="18"/>
              </w:rPr>
            </w:pPr>
            <w:r w:rsidRPr="00C851D8">
              <w:rPr>
                <w:rFonts w:ascii="Calibri" w:hAnsi="Calibri"/>
                <w:sz w:val="18"/>
                <w:szCs w:val="18"/>
              </w:rPr>
              <w:t>0,419</w:t>
            </w:r>
          </w:p>
        </w:tc>
        <w:tc>
          <w:tcPr>
            <w:tcW w:w="1044" w:type="dxa"/>
            <w:noWrap/>
            <w:vAlign w:val="bottom"/>
            <w:hideMark/>
          </w:tcPr>
          <w:p w14:paraId="384A8070" w14:textId="77777777" w:rsidR="00E80ADC" w:rsidRPr="00C851D8" w:rsidRDefault="00E80ADC" w:rsidP="00E64253">
            <w:pPr>
              <w:jc w:val="right"/>
              <w:rPr>
                <w:rFonts w:ascii="Calibri" w:hAnsi="Calibri"/>
                <w:sz w:val="18"/>
                <w:szCs w:val="18"/>
              </w:rPr>
            </w:pPr>
            <w:r w:rsidRPr="00C851D8">
              <w:rPr>
                <w:rFonts w:ascii="Calibri" w:hAnsi="Calibri"/>
                <w:sz w:val="18"/>
                <w:szCs w:val="18"/>
              </w:rPr>
              <w:t>0,435</w:t>
            </w:r>
          </w:p>
        </w:tc>
        <w:tc>
          <w:tcPr>
            <w:tcW w:w="1193" w:type="dxa"/>
            <w:noWrap/>
            <w:vAlign w:val="bottom"/>
            <w:hideMark/>
          </w:tcPr>
          <w:p w14:paraId="1D2E09A7"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0,002</w:t>
            </w:r>
          </w:p>
        </w:tc>
        <w:tc>
          <w:tcPr>
            <w:tcW w:w="992" w:type="dxa"/>
            <w:noWrap/>
            <w:vAlign w:val="bottom"/>
            <w:hideMark/>
          </w:tcPr>
          <w:p w14:paraId="0A3511A8" w14:textId="77777777" w:rsidR="00E80ADC" w:rsidRPr="00C851D8" w:rsidRDefault="00E80ADC" w:rsidP="00E64253">
            <w:pPr>
              <w:jc w:val="right"/>
              <w:rPr>
                <w:rFonts w:ascii="Calibri" w:hAnsi="Calibri"/>
                <w:sz w:val="18"/>
                <w:szCs w:val="18"/>
              </w:rPr>
            </w:pPr>
            <w:r w:rsidRPr="00C851D8">
              <w:rPr>
                <w:rFonts w:ascii="Calibri" w:hAnsi="Calibri"/>
                <w:sz w:val="18"/>
                <w:szCs w:val="18"/>
              </w:rPr>
              <w:t>0,438</w:t>
            </w:r>
          </w:p>
        </w:tc>
        <w:tc>
          <w:tcPr>
            <w:tcW w:w="1276" w:type="dxa"/>
            <w:noWrap/>
            <w:vAlign w:val="bottom"/>
            <w:hideMark/>
          </w:tcPr>
          <w:p w14:paraId="30F3002C"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&lt;0,001</w:t>
            </w:r>
          </w:p>
        </w:tc>
      </w:tr>
      <w:tr w:rsidR="00E80ADC" w:rsidRPr="002A729A" w14:paraId="669EC405" w14:textId="77777777" w:rsidTr="0087586D">
        <w:trPr>
          <w:trHeight w:val="300"/>
        </w:trPr>
        <w:tc>
          <w:tcPr>
            <w:tcW w:w="3227" w:type="dxa"/>
            <w:vMerge/>
            <w:shd w:val="clear" w:color="auto" w:fill="FFFFFF" w:themeFill="background1"/>
            <w:noWrap/>
            <w:hideMark/>
          </w:tcPr>
          <w:p w14:paraId="26AB8168" w14:textId="77777777" w:rsidR="00E80ADC" w:rsidRPr="00C851D8" w:rsidRDefault="00E80ADC" w:rsidP="00E64253">
            <w:pPr>
              <w:rPr>
                <w:b/>
                <w:sz w:val="18"/>
                <w:szCs w:val="18"/>
              </w:rPr>
            </w:pPr>
          </w:p>
        </w:tc>
        <w:tc>
          <w:tcPr>
            <w:tcW w:w="10773" w:type="dxa"/>
            <w:gridSpan w:val="10"/>
            <w:noWrap/>
            <w:vAlign w:val="bottom"/>
            <w:hideMark/>
          </w:tcPr>
          <w:p w14:paraId="1C904B20" w14:textId="77777777" w:rsidR="00E80ADC" w:rsidRPr="00C851D8" w:rsidRDefault="00E80ADC" w:rsidP="00E64253">
            <w:pPr>
              <w:jc w:val="center"/>
              <w:rPr>
                <w:rFonts w:ascii="Calibri" w:hAnsi="Calibri"/>
                <w:b/>
                <w:sz w:val="18"/>
                <w:szCs w:val="18"/>
                <w:lang w:val="en-GB"/>
              </w:rPr>
            </w:pPr>
            <w:r w:rsidRPr="00C851D8">
              <w:rPr>
                <w:rFonts w:ascii="Calibri" w:hAnsi="Calibri"/>
                <w:b/>
                <w:sz w:val="18"/>
                <w:szCs w:val="18"/>
                <w:lang w:val="en-GB"/>
              </w:rPr>
              <w:t>Reference (proportion of 1,0): M&lt;18y: 0.37-0.49, M&gt;18y: 0.39-0.497, F&lt;18y: 0.36-0.46, F&gt;18y: 0.358-0.437</w:t>
            </w:r>
          </w:p>
        </w:tc>
      </w:tr>
      <w:tr w:rsidR="00E80ADC" w:rsidRPr="00C851D8" w14:paraId="0B0390DB" w14:textId="77777777" w:rsidTr="0087586D">
        <w:trPr>
          <w:trHeight w:val="300"/>
        </w:trPr>
        <w:tc>
          <w:tcPr>
            <w:tcW w:w="3227" w:type="dxa"/>
            <w:vMerge w:val="restart"/>
            <w:shd w:val="clear" w:color="auto" w:fill="FFFFFF" w:themeFill="background1"/>
            <w:noWrap/>
            <w:hideMark/>
          </w:tcPr>
          <w:p w14:paraId="73D2D2E6" w14:textId="7FB43E7E" w:rsidR="00E80ADC" w:rsidRPr="00FD0654" w:rsidRDefault="00E80ADC" w:rsidP="00E64253">
            <w:pPr>
              <w:rPr>
                <w:sz w:val="18"/>
                <w:szCs w:val="18"/>
                <w:lang w:val="en-GB"/>
              </w:rPr>
            </w:pPr>
            <w:r w:rsidRPr="00FD0654">
              <w:rPr>
                <w:b/>
                <w:sz w:val="18"/>
                <w:szCs w:val="18"/>
                <w:lang w:val="en-GB"/>
              </w:rPr>
              <w:t>Creatinine</w:t>
            </w:r>
            <w:r w:rsidR="003D29B1">
              <w:rPr>
                <w:b/>
                <w:sz w:val="18"/>
                <w:szCs w:val="18"/>
                <w:lang w:val="en-GB"/>
              </w:rPr>
              <w:t xml:space="preserve"> (µmol/L)</w:t>
            </w:r>
          </w:p>
          <w:p w14:paraId="79F1AEA6" w14:textId="77777777" w:rsidR="00E80ADC" w:rsidRPr="00C851D8" w:rsidRDefault="00E80ADC" w:rsidP="00E64253">
            <w:pPr>
              <w:rPr>
                <w:sz w:val="18"/>
                <w:szCs w:val="18"/>
                <w:lang w:val="en-GB"/>
              </w:rPr>
            </w:pPr>
            <w:r w:rsidRPr="00C851D8">
              <w:rPr>
                <w:sz w:val="16"/>
                <w:szCs w:val="16"/>
                <w:lang w:val="en-GB"/>
              </w:rPr>
              <w:t>Rate-blanked Jaffé kinetic assay (Roche Diagnostics c701 (a+b))</w:t>
            </w:r>
          </w:p>
        </w:tc>
        <w:tc>
          <w:tcPr>
            <w:tcW w:w="1044" w:type="dxa"/>
            <w:noWrap/>
            <w:vAlign w:val="bottom"/>
            <w:hideMark/>
          </w:tcPr>
          <w:p w14:paraId="47C60220" w14:textId="77777777" w:rsidR="00E80ADC" w:rsidRPr="00C851D8" w:rsidRDefault="00E80ADC" w:rsidP="00E64253">
            <w:pPr>
              <w:jc w:val="right"/>
              <w:rPr>
                <w:rFonts w:ascii="Calibri" w:hAnsi="Calibri"/>
                <w:sz w:val="18"/>
                <w:szCs w:val="18"/>
              </w:rPr>
            </w:pPr>
            <w:r w:rsidRPr="00C851D8">
              <w:rPr>
                <w:rFonts w:ascii="Calibri" w:hAnsi="Calibri"/>
                <w:sz w:val="18"/>
                <w:szCs w:val="18"/>
              </w:rPr>
              <w:t>65,416</w:t>
            </w:r>
          </w:p>
        </w:tc>
        <w:tc>
          <w:tcPr>
            <w:tcW w:w="1045" w:type="dxa"/>
            <w:noWrap/>
            <w:vAlign w:val="bottom"/>
            <w:hideMark/>
          </w:tcPr>
          <w:p w14:paraId="124C6E27" w14:textId="77777777" w:rsidR="00E80ADC" w:rsidRPr="00C851D8" w:rsidRDefault="00E80ADC" w:rsidP="00E64253">
            <w:pPr>
              <w:jc w:val="right"/>
              <w:rPr>
                <w:rFonts w:ascii="Calibri" w:hAnsi="Calibri"/>
                <w:sz w:val="18"/>
                <w:szCs w:val="18"/>
              </w:rPr>
            </w:pPr>
            <w:r w:rsidRPr="00C851D8">
              <w:rPr>
                <w:rFonts w:ascii="Calibri" w:hAnsi="Calibri"/>
                <w:sz w:val="18"/>
                <w:szCs w:val="18"/>
              </w:rPr>
              <w:t>71,604</w:t>
            </w:r>
          </w:p>
        </w:tc>
        <w:tc>
          <w:tcPr>
            <w:tcW w:w="1045" w:type="dxa"/>
            <w:noWrap/>
            <w:vAlign w:val="bottom"/>
            <w:hideMark/>
          </w:tcPr>
          <w:p w14:paraId="192A908F"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&lt;0,001</w:t>
            </w:r>
          </w:p>
        </w:tc>
        <w:tc>
          <w:tcPr>
            <w:tcW w:w="1044" w:type="dxa"/>
            <w:noWrap/>
            <w:vAlign w:val="bottom"/>
            <w:hideMark/>
          </w:tcPr>
          <w:p w14:paraId="10F86EE1" w14:textId="77777777" w:rsidR="00E80ADC" w:rsidRPr="00C851D8" w:rsidRDefault="00E80ADC" w:rsidP="00E64253">
            <w:pPr>
              <w:jc w:val="right"/>
              <w:rPr>
                <w:rFonts w:ascii="Calibri" w:hAnsi="Calibri"/>
                <w:sz w:val="18"/>
                <w:szCs w:val="18"/>
              </w:rPr>
            </w:pPr>
            <w:r w:rsidRPr="00C851D8">
              <w:rPr>
                <w:rFonts w:ascii="Calibri" w:hAnsi="Calibri"/>
                <w:sz w:val="18"/>
                <w:szCs w:val="18"/>
              </w:rPr>
              <w:t>70,72</w:t>
            </w:r>
          </w:p>
        </w:tc>
        <w:tc>
          <w:tcPr>
            <w:tcW w:w="1045" w:type="dxa"/>
            <w:noWrap/>
            <w:vAlign w:val="bottom"/>
            <w:hideMark/>
          </w:tcPr>
          <w:p w14:paraId="25C278AB"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&lt;0,001</w:t>
            </w:r>
          </w:p>
        </w:tc>
        <w:tc>
          <w:tcPr>
            <w:tcW w:w="1045" w:type="dxa"/>
            <w:noWrap/>
            <w:vAlign w:val="bottom"/>
            <w:hideMark/>
          </w:tcPr>
          <w:p w14:paraId="309C042D" w14:textId="77777777" w:rsidR="00E80ADC" w:rsidRPr="00C851D8" w:rsidRDefault="00E80ADC" w:rsidP="00E64253">
            <w:pPr>
              <w:jc w:val="right"/>
              <w:rPr>
                <w:rFonts w:ascii="Calibri" w:hAnsi="Calibri"/>
                <w:sz w:val="18"/>
                <w:szCs w:val="18"/>
              </w:rPr>
            </w:pPr>
            <w:r w:rsidRPr="00C851D8">
              <w:rPr>
                <w:rFonts w:ascii="Calibri" w:hAnsi="Calibri"/>
                <w:sz w:val="18"/>
                <w:szCs w:val="18"/>
              </w:rPr>
              <w:t>69,836</w:t>
            </w:r>
          </w:p>
        </w:tc>
        <w:tc>
          <w:tcPr>
            <w:tcW w:w="1044" w:type="dxa"/>
            <w:noWrap/>
            <w:vAlign w:val="bottom"/>
            <w:hideMark/>
          </w:tcPr>
          <w:p w14:paraId="6C58F3D5" w14:textId="77777777" w:rsidR="00E80ADC" w:rsidRPr="00C851D8" w:rsidRDefault="00E80ADC" w:rsidP="00E64253">
            <w:pPr>
              <w:jc w:val="right"/>
              <w:rPr>
                <w:rFonts w:ascii="Calibri" w:hAnsi="Calibri"/>
                <w:sz w:val="18"/>
                <w:szCs w:val="18"/>
              </w:rPr>
            </w:pPr>
            <w:r w:rsidRPr="00C851D8">
              <w:rPr>
                <w:rFonts w:ascii="Calibri" w:hAnsi="Calibri"/>
                <w:sz w:val="18"/>
                <w:szCs w:val="18"/>
              </w:rPr>
              <w:t>73,372</w:t>
            </w:r>
          </w:p>
        </w:tc>
        <w:tc>
          <w:tcPr>
            <w:tcW w:w="1193" w:type="dxa"/>
            <w:noWrap/>
            <w:vAlign w:val="bottom"/>
            <w:hideMark/>
          </w:tcPr>
          <w:p w14:paraId="2B8F2924"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0,052</w:t>
            </w:r>
          </w:p>
        </w:tc>
        <w:tc>
          <w:tcPr>
            <w:tcW w:w="992" w:type="dxa"/>
            <w:noWrap/>
            <w:vAlign w:val="bottom"/>
            <w:hideMark/>
          </w:tcPr>
          <w:p w14:paraId="2E2A202C" w14:textId="77777777" w:rsidR="00E80ADC" w:rsidRPr="00C851D8" w:rsidRDefault="00E80ADC" w:rsidP="00E64253">
            <w:pPr>
              <w:jc w:val="right"/>
              <w:rPr>
                <w:rFonts w:ascii="Calibri" w:hAnsi="Calibri"/>
                <w:sz w:val="18"/>
                <w:szCs w:val="18"/>
              </w:rPr>
            </w:pPr>
            <w:r w:rsidRPr="00C851D8">
              <w:rPr>
                <w:rFonts w:ascii="Calibri" w:hAnsi="Calibri"/>
                <w:sz w:val="18"/>
                <w:szCs w:val="18"/>
              </w:rPr>
              <w:t>72,488</w:t>
            </w:r>
          </w:p>
        </w:tc>
        <w:tc>
          <w:tcPr>
            <w:tcW w:w="1276" w:type="dxa"/>
            <w:noWrap/>
            <w:vAlign w:val="bottom"/>
            <w:hideMark/>
          </w:tcPr>
          <w:p w14:paraId="21210683"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0,045</w:t>
            </w:r>
          </w:p>
        </w:tc>
      </w:tr>
      <w:tr w:rsidR="00E80ADC" w:rsidRPr="002A729A" w14:paraId="7D80B83D" w14:textId="77777777" w:rsidTr="0087586D">
        <w:trPr>
          <w:trHeight w:val="300"/>
        </w:trPr>
        <w:tc>
          <w:tcPr>
            <w:tcW w:w="3227" w:type="dxa"/>
            <w:vMerge/>
            <w:shd w:val="clear" w:color="auto" w:fill="FFFFFF" w:themeFill="background1"/>
            <w:noWrap/>
            <w:hideMark/>
          </w:tcPr>
          <w:p w14:paraId="22D8DD0E" w14:textId="77777777" w:rsidR="00E80ADC" w:rsidRPr="00C851D8" w:rsidRDefault="00E80ADC" w:rsidP="00E64253">
            <w:pPr>
              <w:rPr>
                <w:b/>
                <w:sz w:val="18"/>
                <w:szCs w:val="18"/>
              </w:rPr>
            </w:pPr>
          </w:p>
        </w:tc>
        <w:tc>
          <w:tcPr>
            <w:tcW w:w="10773" w:type="dxa"/>
            <w:gridSpan w:val="10"/>
            <w:noWrap/>
            <w:vAlign w:val="bottom"/>
            <w:hideMark/>
          </w:tcPr>
          <w:p w14:paraId="74A51E1A" w14:textId="77777777" w:rsidR="00E80ADC" w:rsidRPr="00C851D8" w:rsidRDefault="00E80ADC" w:rsidP="00E64253">
            <w:pPr>
              <w:jc w:val="center"/>
              <w:rPr>
                <w:rFonts w:ascii="Calibri" w:hAnsi="Calibri"/>
                <w:b/>
                <w:sz w:val="18"/>
                <w:szCs w:val="18"/>
                <w:lang w:val="en-GB"/>
              </w:rPr>
            </w:pPr>
            <w:r w:rsidRPr="00C851D8">
              <w:rPr>
                <w:rFonts w:ascii="Calibri" w:hAnsi="Calibri"/>
                <w:b/>
                <w:sz w:val="18"/>
                <w:szCs w:val="18"/>
                <w:lang w:val="en-GB"/>
              </w:rPr>
              <w:t>Reference (µmol/L): M/F</w:t>
            </w:r>
            <w:r>
              <w:rPr>
                <w:rFonts w:ascii="Calibri" w:hAnsi="Calibri"/>
                <w:b/>
                <w:sz w:val="18"/>
                <w:szCs w:val="18"/>
                <w:lang w:val="en-GB"/>
              </w:rPr>
              <w:t>:</w:t>
            </w:r>
            <w:r w:rsidRPr="00C851D8">
              <w:rPr>
                <w:rFonts w:ascii="Calibri" w:hAnsi="Calibri"/>
                <w:b/>
                <w:sz w:val="18"/>
                <w:szCs w:val="18"/>
                <w:lang w:val="en-GB"/>
              </w:rPr>
              <w:t xml:space="preserve"> 11-13y: 46.852-69.836, M/F</w:t>
            </w:r>
            <w:r>
              <w:rPr>
                <w:rFonts w:ascii="Calibri" w:hAnsi="Calibri"/>
                <w:b/>
                <w:sz w:val="18"/>
                <w:szCs w:val="18"/>
                <w:lang w:val="en-GB"/>
              </w:rPr>
              <w:t>:</w:t>
            </w:r>
            <w:r w:rsidRPr="00C851D8">
              <w:rPr>
                <w:rFonts w:ascii="Calibri" w:hAnsi="Calibri"/>
                <w:b/>
                <w:sz w:val="18"/>
                <w:szCs w:val="18"/>
                <w:lang w:val="en-GB"/>
              </w:rPr>
              <w:t xml:space="preserve"> 13-15y: 50.388-76.908</w:t>
            </w:r>
            <w:r>
              <w:rPr>
                <w:rFonts w:ascii="Calibri" w:hAnsi="Calibri"/>
                <w:b/>
                <w:sz w:val="18"/>
                <w:szCs w:val="18"/>
                <w:lang w:val="en-GB"/>
              </w:rPr>
              <w:t>,</w:t>
            </w:r>
            <w:r w:rsidRPr="00C851D8">
              <w:rPr>
                <w:rFonts w:ascii="Calibri" w:hAnsi="Calibri"/>
                <w:b/>
                <w:sz w:val="18"/>
                <w:szCs w:val="18"/>
                <w:lang w:val="en-GB"/>
              </w:rPr>
              <w:t xml:space="preserve"> M&gt;15y: 63.648-103.428, F&gt;15y: 48.62-84.864</w:t>
            </w:r>
          </w:p>
        </w:tc>
      </w:tr>
      <w:tr w:rsidR="00E80ADC" w:rsidRPr="00C851D8" w14:paraId="58F5AF88" w14:textId="77777777" w:rsidTr="0087586D">
        <w:trPr>
          <w:trHeight w:val="300"/>
        </w:trPr>
        <w:tc>
          <w:tcPr>
            <w:tcW w:w="3227" w:type="dxa"/>
            <w:vMerge w:val="restart"/>
            <w:shd w:val="clear" w:color="auto" w:fill="FFFFFF" w:themeFill="background1"/>
            <w:noWrap/>
            <w:hideMark/>
          </w:tcPr>
          <w:p w14:paraId="4E28F279" w14:textId="5DF5DBCB" w:rsidR="00E80ADC" w:rsidRPr="00C851D8" w:rsidRDefault="00E80ADC" w:rsidP="00E64253">
            <w:pPr>
              <w:rPr>
                <w:b/>
                <w:sz w:val="18"/>
                <w:szCs w:val="18"/>
                <w:lang w:val="en-GB"/>
              </w:rPr>
            </w:pPr>
            <w:r w:rsidRPr="00C851D8">
              <w:rPr>
                <w:b/>
                <w:sz w:val="18"/>
                <w:szCs w:val="18"/>
                <w:lang w:val="en-GB"/>
              </w:rPr>
              <w:t>Aspartate Amino Transferase</w:t>
            </w:r>
            <w:r w:rsidR="007A7B24">
              <w:rPr>
                <w:b/>
                <w:sz w:val="18"/>
                <w:szCs w:val="18"/>
                <w:lang w:val="en-GB"/>
              </w:rPr>
              <w:t xml:space="preserve"> (µkat/L)</w:t>
            </w:r>
          </w:p>
          <w:p w14:paraId="13EADE9B" w14:textId="77777777" w:rsidR="00E80ADC" w:rsidRPr="00C851D8" w:rsidRDefault="00E80ADC" w:rsidP="00E64253">
            <w:pPr>
              <w:rPr>
                <w:b/>
                <w:sz w:val="18"/>
                <w:szCs w:val="18"/>
                <w:lang w:val="en-GB"/>
              </w:rPr>
            </w:pPr>
            <w:r w:rsidRPr="00C851D8">
              <w:rPr>
                <w:sz w:val="16"/>
                <w:szCs w:val="16"/>
                <w:lang w:val="en-GB"/>
              </w:rPr>
              <w:t>UV-kinetic (IFCC) method without pyridoxal phosphate (Roche Diagnostics Cobas c701)</w:t>
            </w:r>
          </w:p>
        </w:tc>
        <w:tc>
          <w:tcPr>
            <w:tcW w:w="1044" w:type="dxa"/>
            <w:noWrap/>
            <w:vAlign w:val="bottom"/>
            <w:hideMark/>
          </w:tcPr>
          <w:p w14:paraId="346AA133" w14:textId="77777777" w:rsidR="00E80ADC" w:rsidRPr="00C851D8" w:rsidRDefault="00E80ADC" w:rsidP="00E64253">
            <w:pPr>
              <w:jc w:val="right"/>
              <w:rPr>
                <w:rFonts w:ascii="Calibri" w:hAnsi="Calibri"/>
                <w:sz w:val="18"/>
                <w:szCs w:val="18"/>
              </w:rPr>
            </w:pPr>
            <w:r w:rsidRPr="00C851D8">
              <w:rPr>
                <w:rFonts w:ascii="Calibri" w:hAnsi="Calibri"/>
                <w:sz w:val="18"/>
                <w:szCs w:val="18"/>
              </w:rPr>
              <w:t>0,30</w:t>
            </w:r>
          </w:p>
        </w:tc>
        <w:tc>
          <w:tcPr>
            <w:tcW w:w="1045" w:type="dxa"/>
            <w:noWrap/>
            <w:vAlign w:val="bottom"/>
            <w:hideMark/>
          </w:tcPr>
          <w:p w14:paraId="79B6E08A" w14:textId="77777777" w:rsidR="00E80ADC" w:rsidRPr="00C851D8" w:rsidRDefault="00E80ADC" w:rsidP="00E64253">
            <w:pPr>
              <w:jc w:val="right"/>
              <w:rPr>
                <w:rFonts w:ascii="Calibri" w:hAnsi="Calibri"/>
                <w:sz w:val="18"/>
                <w:szCs w:val="18"/>
              </w:rPr>
            </w:pPr>
            <w:r w:rsidRPr="00C851D8">
              <w:rPr>
                <w:rFonts w:ascii="Calibri" w:hAnsi="Calibri"/>
                <w:sz w:val="18"/>
                <w:szCs w:val="18"/>
              </w:rPr>
              <w:t>0,31</w:t>
            </w:r>
          </w:p>
        </w:tc>
        <w:tc>
          <w:tcPr>
            <w:tcW w:w="1045" w:type="dxa"/>
            <w:noWrap/>
            <w:vAlign w:val="bottom"/>
            <w:hideMark/>
          </w:tcPr>
          <w:p w14:paraId="77D1051E"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0,903</w:t>
            </w:r>
          </w:p>
        </w:tc>
        <w:tc>
          <w:tcPr>
            <w:tcW w:w="1044" w:type="dxa"/>
            <w:noWrap/>
            <w:vAlign w:val="bottom"/>
            <w:hideMark/>
          </w:tcPr>
          <w:p w14:paraId="28BE3AD3" w14:textId="77777777" w:rsidR="00E80ADC" w:rsidRPr="00C851D8" w:rsidRDefault="00E80ADC" w:rsidP="00E64253">
            <w:pPr>
              <w:jc w:val="right"/>
              <w:rPr>
                <w:rFonts w:ascii="Calibri" w:hAnsi="Calibri"/>
                <w:sz w:val="18"/>
                <w:szCs w:val="18"/>
              </w:rPr>
            </w:pPr>
            <w:r w:rsidRPr="00C851D8">
              <w:rPr>
                <w:rFonts w:ascii="Calibri" w:hAnsi="Calibri"/>
                <w:sz w:val="18"/>
                <w:szCs w:val="18"/>
              </w:rPr>
              <w:t>0,33</w:t>
            </w:r>
          </w:p>
        </w:tc>
        <w:tc>
          <w:tcPr>
            <w:tcW w:w="1045" w:type="dxa"/>
            <w:noWrap/>
            <w:vAlign w:val="bottom"/>
            <w:hideMark/>
          </w:tcPr>
          <w:p w14:paraId="24E36BEC"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0,091</w:t>
            </w:r>
          </w:p>
        </w:tc>
        <w:tc>
          <w:tcPr>
            <w:tcW w:w="1045" w:type="dxa"/>
            <w:noWrap/>
            <w:vAlign w:val="bottom"/>
            <w:hideMark/>
          </w:tcPr>
          <w:p w14:paraId="43B00A36" w14:textId="77777777" w:rsidR="00E80ADC" w:rsidRPr="00C851D8" w:rsidRDefault="00E80ADC" w:rsidP="00E64253">
            <w:pPr>
              <w:jc w:val="right"/>
              <w:rPr>
                <w:rFonts w:ascii="Calibri" w:hAnsi="Calibri"/>
                <w:sz w:val="18"/>
                <w:szCs w:val="18"/>
              </w:rPr>
            </w:pPr>
            <w:r w:rsidRPr="00C851D8">
              <w:rPr>
                <w:rFonts w:ascii="Calibri" w:hAnsi="Calibri"/>
                <w:sz w:val="18"/>
                <w:szCs w:val="18"/>
              </w:rPr>
              <w:t>0,31</w:t>
            </w:r>
          </w:p>
        </w:tc>
        <w:tc>
          <w:tcPr>
            <w:tcW w:w="1044" w:type="dxa"/>
            <w:noWrap/>
            <w:vAlign w:val="bottom"/>
            <w:hideMark/>
          </w:tcPr>
          <w:p w14:paraId="53848C69" w14:textId="77777777" w:rsidR="00E80ADC" w:rsidRPr="00C851D8" w:rsidRDefault="00E80ADC" w:rsidP="00E64253">
            <w:pPr>
              <w:jc w:val="right"/>
              <w:rPr>
                <w:rFonts w:ascii="Calibri" w:hAnsi="Calibri"/>
                <w:sz w:val="18"/>
                <w:szCs w:val="18"/>
              </w:rPr>
            </w:pPr>
            <w:r w:rsidRPr="00C851D8">
              <w:rPr>
                <w:rFonts w:ascii="Calibri" w:hAnsi="Calibri"/>
                <w:sz w:val="18"/>
                <w:szCs w:val="18"/>
              </w:rPr>
              <w:t>0,35</w:t>
            </w:r>
          </w:p>
        </w:tc>
        <w:tc>
          <w:tcPr>
            <w:tcW w:w="1193" w:type="dxa"/>
            <w:noWrap/>
            <w:vAlign w:val="bottom"/>
            <w:hideMark/>
          </w:tcPr>
          <w:p w14:paraId="1F0B8D56"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0,031</w:t>
            </w:r>
          </w:p>
        </w:tc>
        <w:tc>
          <w:tcPr>
            <w:tcW w:w="992" w:type="dxa"/>
            <w:noWrap/>
            <w:vAlign w:val="bottom"/>
            <w:hideMark/>
          </w:tcPr>
          <w:p w14:paraId="1939D304" w14:textId="77777777" w:rsidR="00E80ADC" w:rsidRPr="00C851D8" w:rsidRDefault="00E80ADC" w:rsidP="00E64253">
            <w:pPr>
              <w:jc w:val="right"/>
              <w:rPr>
                <w:rFonts w:ascii="Calibri" w:hAnsi="Calibri"/>
                <w:sz w:val="18"/>
                <w:szCs w:val="18"/>
              </w:rPr>
            </w:pPr>
            <w:r w:rsidRPr="00C851D8">
              <w:rPr>
                <w:rFonts w:ascii="Calibri" w:hAnsi="Calibri"/>
                <w:sz w:val="18"/>
                <w:szCs w:val="18"/>
              </w:rPr>
              <w:t>0,35</w:t>
            </w:r>
          </w:p>
        </w:tc>
        <w:tc>
          <w:tcPr>
            <w:tcW w:w="1276" w:type="dxa"/>
            <w:noWrap/>
            <w:vAlign w:val="bottom"/>
            <w:hideMark/>
          </w:tcPr>
          <w:p w14:paraId="5A6111D3"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0,003</w:t>
            </w:r>
          </w:p>
        </w:tc>
      </w:tr>
      <w:tr w:rsidR="00E80ADC" w:rsidRPr="002A729A" w14:paraId="050FE23C" w14:textId="77777777" w:rsidTr="0087586D">
        <w:trPr>
          <w:trHeight w:val="300"/>
        </w:trPr>
        <w:tc>
          <w:tcPr>
            <w:tcW w:w="3227" w:type="dxa"/>
            <w:vMerge/>
            <w:shd w:val="clear" w:color="auto" w:fill="FFFFFF" w:themeFill="background1"/>
            <w:noWrap/>
            <w:hideMark/>
          </w:tcPr>
          <w:p w14:paraId="645BD31D" w14:textId="77777777" w:rsidR="00E80ADC" w:rsidRPr="00C851D8" w:rsidRDefault="00E80ADC" w:rsidP="00E64253">
            <w:pPr>
              <w:rPr>
                <w:b/>
                <w:sz w:val="18"/>
                <w:szCs w:val="18"/>
                <w:lang w:val="en-GB"/>
              </w:rPr>
            </w:pPr>
          </w:p>
        </w:tc>
        <w:tc>
          <w:tcPr>
            <w:tcW w:w="10773" w:type="dxa"/>
            <w:gridSpan w:val="10"/>
            <w:noWrap/>
            <w:vAlign w:val="bottom"/>
            <w:hideMark/>
          </w:tcPr>
          <w:p w14:paraId="31BEF027" w14:textId="77777777" w:rsidR="00E80ADC" w:rsidRPr="00C851D8" w:rsidRDefault="00E80ADC" w:rsidP="00E64253">
            <w:pPr>
              <w:jc w:val="center"/>
              <w:rPr>
                <w:rFonts w:ascii="Calibri" w:hAnsi="Calibri"/>
                <w:b/>
                <w:sz w:val="18"/>
                <w:szCs w:val="18"/>
                <w:lang w:val="en-GB"/>
              </w:rPr>
            </w:pPr>
            <w:r w:rsidRPr="00C851D8">
              <w:rPr>
                <w:rFonts w:ascii="Calibri" w:hAnsi="Calibri"/>
                <w:b/>
                <w:sz w:val="18"/>
                <w:szCs w:val="18"/>
                <w:lang w:val="en-GB"/>
              </w:rPr>
              <w:t>Reference (µkat/L): M: 0-0.62, F:0-0.52</w:t>
            </w:r>
          </w:p>
        </w:tc>
      </w:tr>
      <w:tr w:rsidR="00E80ADC" w:rsidRPr="00C851D8" w14:paraId="5B0138DC" w14:textId="77777777" w:rsidTr="0087586D">
        <w:trPr>
          <w:trHeight w:val="300"/>
        </w:trPr>
        <w:tc>
          <w:tcPr>
            <w:tcW w:w="3227" w:type="dxa"/>
            <w:vMerge w:val="restart"/>
            <w:shd w:val="clear" w:color="auto" w:fill="FFFFFF" w:themeFill="background1"/>
            <w:noWrap/>
            <w:hideMark/>
          </w:tcPr>
          <w:p w14:paraId="4D66D803" w14:textId="619472ED" w:rsidR="00E80ADC" w:rsidRPr="00C851D8" w:rsidRDefault="00E80ADC" w:rsidP="00E64253">
            <w:pPr>
              <w:rPr>
                <w:b/>
                <w:sz w:val="18"/>
                <w:szCs w:val="18"/>
                <w:lang w:val="en-GB"/>
              </w:rPr>
            </w:pPr>
            <w:r w:rsidRPr="00C851D8">
              <w:rPr>
                <w:b/>
                <w:sz w:val="18"/>
                <w:szCs w:val="18"/>
                <w:lang w:val="en-GB"/>
              </w:rPr>
              <w:t>Alanine Amino Transferase</w:t>
            </w:r>
            <w:r w:rsidR="007A7B24">
              <w:rPr>
                <w:b/>
                <w:sz w:val="18"/>
                <w:szCs w:val="18"/>
                <w:lang w:val="en-GB"/>
              </w:rPr>
              <w:t xml:space="preserve"> (µkat/L)</w:t>
            </w:r>
          </w:p>
          <w:p w14:paraId="7D79B81D" w14:textId="77777777" w:rsidR="00E80ADC" w:rsidRPr="00C851D8" w:rsidRDefault="00E80ADC" w:rsidP="00E64253">
            <w:pPr>
              <w:rPr>
                <w:b/>
                <w:sz w:val="18"/>
                <w:szCs w:val="18"/>
                <w:lang w:val="en-GB"/>
              </w:rPr>
            </w:pPr>
            <w:r w:rsidRPr="00C851D8">
              <w:rPr>
                <w:sz w:val="16"/>
                <w:szCs w:val="16"/>
                <w:lang w:val="en-GB"/>
              </w:rPr>
              <w:t>UV-kinetic (IFCC) method without pyridoxal phosphate (Roche Diagnostics Cobas c701)</w:t>
            </w:r>
          </w:p>
        </w:tc>
        <w:tc>
          <w:tcPr>
            <w:tcW w:w="1044" w:type="dxa"/>
            <w:noWrap/>
            <w:vAlign w:val="bottom"/>
            <w:hideMark/>
          </w:tcPr>
          <w:p w14:paraId="4199263F" w14:textId="77777777" w:rsidR="00E80ADC" w:rsidRPr="00C851D8" w:rsidRDefault="00E80ADC" w:rsidP="00E64253">
            <w:pPr>
              <w:jc w:val="right"/>
              <w:rPr>
                <w:rFonts w:ascii="Calibri" w:hAnsi="Calibri"/>
                <w:sz w:val="18"/>
                <w:szCs w:val="18"/>
              </w:rPr>
            </w:pPr>
            <w:r w:rsidRPr="00C851D8">
              <w:rPr>
                <w:rFonts w:ascii="Calibri" w:hAnsi="Calibri"/>
                <w:sz w:val="18"/>
                <w:szCs w:val="18"/>
              </w:rPr>
              <w:t>0,22</w:t>
            </w:r>
          </w:p>
        </w:tc>
        <w:tc>
          <w:tcPr>
            <w:tcW w:w="1045" w:type="dxa"/>
            <w:noWrap/>
            <w:vAlign w:val="bottom"/>
            <w:hideMark/>
          </w:tcPr>
          <w:p w14:paraId="2B5D2684" w14:textId="77777777" w:rsidR="00E80ADC" w:rsidRPr="00C851D8" w:rsidRDefault="00E80ADC" w:rsidP="00E64253">
            <w:pPr>
              <w:jc w:val="right"/>
              <w:rPr>
                <w:rFonts w:ascii="Calibri" w:hAnsi="Calibri"/>
                <w:sz w:val="18"/>
                <w:szCs w:val="18"/>
              </w:rPr>
            </w:pPr>
            <w:r w:rsidRPr="00C851D8">
              <w:rPr>
                <w:rFonts w:ascii="Calibri" w:hAnsi="Calibri"/>
                <w:sz w:val="18"/>
                <w:szCs w:val="18"/>
              </w:rPr>
              <w:t>0,27</w:t>
            </w:r>
          </w:p>
        </w:tc>
        <w:tc>
          <w:tcPr>
            <w:tcW w:w="1045" w:type="dxa"/>
            <w:noWrap/>
            <w:vAlign w:val="bottom"/>
            <w:hideMark/>
          </w:tcPr>
          <w:p w14:paraId="2F9B5173"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0,121</w:t>
            </w:r>
          </w:p>
        </w:tc>
        <w:tc>
          <w:tcPr>
            <w:tcW w:w="1044" w:type="dxa"/>
            <w:noWrap/>
            <w:vAlign w:val="bottom"/>
            <w:hideMark/>
          </w:tcPr>
          <w:p w14:paraId="749064CB" w14:textId="77777777" w:rsidR="00E80ADC" w:rsidRPr="00C851D8" w:rsidRDefault="00E80ADC" w:rsidP="00E64253">
            <w:pPr>
              <w:jc w:val="right"/>
              <w:rPr>
                <w:rFonts w:ascii="Calibri" w:hAnsi="Calibri"/>
                <w:sz w:val="18"/>
                <w:szCs w:val="18"/>
              </w:rPr>
            </w:pPr>
            <w:r w:rsidRPr="00C851D8">
              <w:rPr>
                <w:rFonts w:ascii="Calibri" w:hAnsi="Calibri"/>
                <w:sz w:val="18"/>
                <w:szCs w:val="18"/>
              </w:rPr>
              <w:t>0,31</w:t>
            </w:r>
          </w:p>
        </w:tc>
        <w:tc>
          <w:tcPr>
            <w:tcW w:w="1045" w:type="dxa"/>
            <w:noWrap/>
            <w:vAlign w:val="bottom"/>
            <w:hideMark/>
          </w:tcPr>
          <w:p w14:paraId="6277AC8A"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0,012</w:t>
            </w:r>
          </w:p>
        </w:tc>
        <w:tc>
          <w:tcPr>
            <w:tcW w:w="1045" w:type="dxa"/>
            <w:noWrap/>
            <w:vAlign w:val="bottom"/>
            <w:hideMark/>
          </w:tcPr>
          <w:p w14:paraId="24232072" w14:textId="77777777" w:rsidR="00E80ADC" w:rsidRPr="00C851D8" w:rsidRDefault="00E80ADC" w:rsidP="00E64253">
            <w:pPr>
              <w:jc w:val="right"/>
              <w:rPr>
                <w:rFonts w:ascii="Calibri" w:hAnsi="Calibri"/>
                <w:sz w:val="18"/>
                <w:szCs w:val="18"/>
              </w:rPr>
            </w:pPr>
            <w:r w:rsidRPr="00C851D8">
              <w:rPr>
                <w:rFonts w:ascii="Calibri" w:hAnsi="Calibri"/>
                <w:sz w:val="18"/>
                <w:szCs w:val="18"/>
              </w:rPr>
              <w:t>0,28</w:t>
            </w:r>
          </w:p>
        </w:tc>
        <w:tc>
          <w:tcPr>
            <w:tcW w:w="1044" w:type="dxa"/>
            <w:noWrap/>
            <w:vAlign w:val="bottom"/>
            <w:hideMark/>
          </w:tcPr>
          <w:p w14:paraId="72A087FB" w14:textId="77777777" w:rsidR="00E80ADC" w:rsidRPr="00C851D8" w:rsidRDefault="00E80ADC" w:rsidP="00E64253">
            <w:pPr>
              <w:jc w:val="right"/>
              <w:rPr>
                <w:rFonts w:ascii="Calibri" w:hAnsi="Calibri"/>
                <w:sz w:val="18"/>
                <w:szCs w:val="18"/>
              </w:rPr>
            </w:pPr>
            <w:r w:rsidRPr="00C851D8">
              <w:rPr>
                <w:rFonts w:ascii="Calibri" w:hAnsi="Calibri"/>
                <w:sz w:val="18"/>
                <w:szCs w:val="18"/>
              </w:rPr>
              <w:t>0,31</w:t>
            </w:r>
          </w:p>
        </w:tc>
        <w:tc>
          <w:tcPr>
            <w:tcW w:w="1193" w:type="dxa"/>
            <w:noWrap/>
            <w:vAlign w:val="bottom"/>
            <w:hideMark/>
          </w:tcPr>
          <w:p w14:paraId="138DAED5"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0,079</w:t>
            </w:r>
          </w:p>
        </w:tc>
        <w:tc>
          <w:tcPr>
            <w:tcW w:w="992" w:type="dxa"/>
            <w:noWrap/>
            <w:vAlign w:val="bottom"/>
            <w:hideMark/>
          </w:tcPr>
          <w:p w14:paraId="3D78E497" w14:textId="77777777" w:rsidR="00E80ADC" w:rsidRPr="00C851D8" w:rsidRDefault="00E80ADC" w:rsidP="00E64253">
            <w:pPr>
              <w:jc w:val="right"/>
              <w:rPr>
                <w:rFonts w:ascii="Calibri" w:hAnsi="Calibri"/>
                <w:sz w:val="18"/>
                <w:szCs w:val="18"/>
              </w:rPr>
            </w:pPr>
            <w:r w:rsidRPr="00C851D8">
              <w:rPr>
                <w:rFonts w:ascii="Calibri" w:hAnsi="Calibri"/>
                <w:sz w:val="18"/>
                <w:szCs w:val="18"/>
              </w:rPr>
              <w:t>0,34</w:t>
            </w:r>
          </w:p>
        </w:tc>
        <w:tc>
          <w:tcPr>
            <w:tcW w:w="1276" w:type="dxa"/>
            <w:noWrap/>
            <w:vAlign w:val="bottom"/>
            <w:hideMark/>
          </w:tcPr>
          <w:p w14:paraId="61E64C12"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0,045</w:t>
            </w:r>
          </w:p>
        </w:tc>
      </w:tr>
      <w:tr w:rsidR="00E80ADC" w:rsidRPr="002A729A" w14:paraId="2E46BA1B" w14:textId="77777777" w:rsidTr="0087586D">
        <w:trPr>
          <w:trHeight w:val="300"/>
        </w:trPr>
        <w:tc>
          <w:tcPr>
            <w:tcW w:w="3227" w:type="dxa"/>
            <w:vMerge/>
            <w:shd w:val="clear" w:color="auto" w:fill="FFFFFF" w:themeFill="background1"/>
            <w:noWrap/>
            <w:hideMark/>
          </w:tcPr>
          <w:p w14:paraId="58EF4675" w14:textId="77777777" w:rsidR="00E80ADC" w:rsidRPr="00C851D8" w:rsidRDefault="00E80ADC" w:rsidP="00E64253">
            <w:pPr>
              <w:rPr>
                <w:b/>
                <w:sz w:val="18"/>
                <w:szCs w:val="18"/>
                <w:lang w:val="en-GB"/>
              </w:rPr>
            </w:pPr>
          </w:p>
        </w:tc>
        <w:tc>
          <w:tcPr>
            <w:tcW w:w="10773" w:type="dxa"/>
            <w:gridSpan w:val="10"/>
            <w:noWrap/>
            <w:vAlign w:val="bottom"/>
            <w:hideMark/>
          </w:tcPr>
          <w:p w14:paraId="6E6EDDFA" w14:textId="77777777" w:rsidR="00E80ADC" w:rsidRPr="00C851D8" w:rsidRDefault="00E80ADC" w:rsidP="00E64253">
            <w:pPr>
              <w:jc w:val="center"/>
              <w:rPr>
                <w:rFonts w:ascii="Calibri" w:hAnsi="Calibri"/>
                <w:b/>
                <w:sz w:val="18"/>
                <w:szCs w:val="18"/>
                <w:lang w:val="en-GB"/>
              </w:rPr>
            </w:pPr>
            <w:r w:rsidRPr="00C851D8">
              <w:rPr>
                <w:rFonts w:ascii="Calibri" w:hAnsi="Calibri"/>
                <w:b/>
                <w:sz w:val="18"/>
                <w:szCs w:val="18"/>
                <w:lang w:val="en-GB"/>
              </w:rPr>
              <w:t>Reference (µkat/L): M: 0.12-0.67, F:</w:t>
            </w:r>
            <w:r>
              <w:rPr>
                <w:rFonts w:ascii="Calibri" w:hAnsi="Calibri"/>
                <w:b/>
                <w:sz w:val="18"/>
                <w:szCs w:val="18"/>
                <w:lang w:val="en-GB"/>
              </w:rPr>
              <w:t xml:space="preserve"> </w:t>
            </w:r>
            <w:r w:rsidRPr="00C851D8">
              <w:rPr>
                <w:rFonts w:ascii="Calibri" w:hAnsi="Calibri"/>
                <w:b/>
                <w:sz w:val="18"/>
                <w:szCs w:val="18"/>
                <w:lang w:val="en-GB"/>
              </w:rPr>
              <w:t>0.12-0.52</w:t>
            </w:r>
          </w:p>
        </w:tc>
      </w:tr>
      <w:tr w:rsidR="00E80ADC" w:rsidRPr="00C851D8" w14:paraId="75ACD006" w14:textId="77777777" w:rsidTr="0087586D">
        <w:trPr>
          <w:trHeight w:val="300"/>
        </w:trPr>
        <w:tc>
          <w:tcPr>
            <w:tcW w:w="3227" w:type="dxa"/>
            <w:vMerge w:val="restart"/>
            <w:shd w:val="clear" w:color="auto" w:fill="FFFFFF" w:themeFill="background1"/>
            <w:noWrap/>
            <w:hideMark/>
          </w:tcPr>
          <w:p w14:paraId="6A5E6211" w14:textId="1462FD9D" w:rsidR="00E80ADC" w:rsidRPr="00FD0654" w:rsidRDefault="00E80ADC" w:rsidP="00E64253">
            <w:pPr>
              <w:rPr>
                <w:b/>
                <w:sz w:val="18"/>
                <w:szCs w:val="18"/>
                <w:lang w:val="en-GB"/>
              </w:rPr>
            </w:pPr>
            <w:r w:rsidRPr="00FD0654">
              <w:rPr>
                <w:b/>
                <w:sz w:val="18"/>
                <w:szCs w:val="18"/>
                <w:lang w:val="en-GB"/>
              </w:rPr>
              <w:t>Triglycerides</w:t>
            </w:r>
            <w:r w:rsidR="007A7B24">
              <w:rPr>
                <w:b/>
                <w:sz w:val="18"/>
                <w:szCs w:val="18"/>
                <w:lang w:val="en-GB"/>
              </w:rPr>
              <w:t xml:space="preserve"> (mmol/L)</w:t>
            </w:r>
          </w:p>
          <w:p w14:paraId="41E51239" w14:textId="77777777" w:rsidR="00E80ADC" w:rsidRPr="00C851D8" w:rsidRDefault="00E80ADC" w:rsidP="00E64253">
            <w:pPr>
              <w:rPr>
                <w:b/>
                <w:sz w:val="18"/>
                <w:szCs w:val="18"/>
                <w:lang w:val="en-GB"/>
              </w:rPr>
            </w:pPr>
            <w:r w:rsidRPr="00C851D8">
              <w:rPr>
                <w:sz w:val="16"/>
                <w:szCs w:val="16"/>
                <w:lang w:val="en-GB"/>
              </w:rPr>
              <w:t>Enzymatic colorimetric method (GPO-PAP and CHOD-PAP, Roche Diagnostics c701 (a+b))</w:t>
            </w:r>
          </w:p>
        </w:tc>
        <w:tc>
          <w:tcPr>
            <w:tcW w:w="1044" w:type="dxa"/>
            <w:noWrap/>
            <w:vAlign w:val="bottom"/>
            <w:hideMark/>
          </w:tcPr>
          <w:p w14:paraId="0BF8EBB4" w14:textId="77777777" w:rsidR="00E80ADC" w:rsidRPr="00C851D8" w:rsidRDefault="00E80ADC" w:rsidP="00E64253">
            <w:pPr>
              <w:jc w:val="right"/>
              <w:rPr>
                <w:rFonts w:ascii="Calibri" w:hAnsi="Calibri"/>
                <w:sz w:val="18"/>
                <w:szCs w:val="18"/>
              </w:rPr>
            </w:pPr>
            <w:r w:rsidRPr="00C851D8">
              <w:rPr>
                <w:rFonts w:ascii="Calibri" w:hAnsi="Calibri"/>
                <w:sz w:val="18"/>
                <w:szCs w:val="18"/>
              </w:rPr>
              <w:t>0,838</w:t>
            </w:r>
          </w:p>
        </w:tc>
        <w:tc>
          <w:tcPr>
            <w:tcW w:w="1045" w:type="dxa"/>
            <w:noWrap/>
            <w:vAlign w:val="bottom"/>
            <w:hideMark/>
          </w:tcPr>
          <w:p w14:paraId="67770772" w14:textId="77777777" w:rsidR="00E80ADC" w:rsidRPr="00C851D8" w:rsidRDefault="00E80ADC" w:rsidP="00E64253">
            <w:pPr>
              <w:jc w:val="right"/>
              <w:rPr>
                <w:rFonts w:ascii="Calibri" w:hAnsi="Calibri"/>
                <w:sz w:val="18"/>
                <w:szCs w:val="18"/>
              </w:rPr>
            </w:pPr>
            <w:r w:rsidRPr="00C851D8">
              <w:rPr>
                <w:rFonts w:ascii="Calibri" w:hAnsi="Calibri"/>
                <w:sz w:val="18"/>
                <w:szCs w:val="18"/>
              </w:rPr>
              <w:t>0,870</w:t>
            </w:r>
          </w:p>
        </w:tc>
        <w:tc>
          <w:tcPr>
            <w:tcW w:w="1045" w:type="dxa"/>
            <w:noWrap/>
            <w:vAlign w:val="bottom"/>
            <w:hideMark/>
          </w:tcPr>
          <w:p w14:paraId="5C657CF3"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0,31</w:t>
            </w:r>
          </w:p>
        </w:tc>
        <w:tc>
          <w:tcPr>
            <w:tcW w:w="1044" w:type="dxa"/>
            <w:noWrap/>
            <w:vAlign w:val="bottom"/>
            <w:hideMark/>
          </w:tcPr>
          <w:p w14:paraId="3C775CA1" w14:textId="77777777" w:rsidR="00E80ADC" w:rsidRPr="00C851D8" w:rsidRDefault="00E80ADC" w:rsidP="00E64253">
            <w:pPr>
              <w:jc w:val="right"/>
              <w:rPr>
                <w:rFonts w:ascii="Calibri" w:hAnsi="Calibri"/>
                <w:sz w:val="18"/>
                <w:szCs w:val="18"/>
              </w:rPr>
            </w:pPr>
            <w:r w:rsidRPr="00C851D8">
              <w:rPr>
                <w:rFonts w:ascii="Calibri" w:hAnsi="Calibri"/>
                <w:sz w:val="18"/>
                <w:szCs w:val="18"/>
              </w:rPr>
              <w:t>0,661</w:t>
            </w:r>
          </w:p>
        </w:tc>
        <w:tc>
          <w:tcPr>
            <w:tcW w:w="1045" w:type="dxa"/>
            <w:noWrap/>
            <w:vAlign w:val="bottom"/>
            <w:hideMark/>
          </w:tcPr>
          <w:p w14:paraId="4A296AF9"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0,128</w:t>
            </w:r>
          </w:p>
        </w:tc>
        <w:tc>
          <w:tcPr>
            <w:tcW w:w="1045" w:type="dxa"/>
            <w:noWrap/>
            <w:vAlign w:val="bottom"/>
            <w:hideMark/>
          </w:tcPr>
          <w:p w14:paraId="31F9AE2C" w14:textId="77777777" w:rsidR="00E80ADC" w:rsidRPr="00C851D8" w:rsidRDefault="00E80ADC" w:rsidP="00E64253">
            <w:pPr>
              <w:jc w:val="right"/>
              <w:rPr>
                <w:rFonts w:ascii="Calibri" w:hAnsi="Calibri"/>
                <w:sz w:val="18"/>
                <w:szCs w:val="18"/>
              </w:rPr>
            </w:pPr>
            <w:r w:rsidRPr="00C851D8">
              <w:rPr>
                <w:rFonts w:ascii="Calibri" w:hAnsi="Calibri"/>
                <w:sz w:val="18"/>
                <w:szCs w:val="18"/>
              </w:rPr>
              <w:t>0,651</w:t>
            </w:r>
          </w:p>
        </w:tc>
        <w:tc>
          <w:tcPr>
            <w:tcW w:w="1044" w:type="dxa"/>
            <w:noWrap/>
            <w:vAlign w:val="bottom"/>
            <w:hideMark/>
          </w:tcPr>
          <w:p w14:paraId="529B8E0C" w14:textId="77777777" w:rsidR="00E80ADC" w:rsidRPr="00C851D8" w:rsidRDefault="00E80ADC" w:rsidP="00E64253">
            <w:pPr>
              <w:jc w:val="right"/>
              <w:rPr>
                <w:rFonts w:ascii="Calibri" w:hAnsi="Calibri"/>
                <w:sz w:val="18"/>
                <w:szCs w:val="18"/>
              </w:rPr>
            </w:pPr>
            <w:r w:rsidRPr="00C851D8">
              <w:rPr>
                <w:rFonts w:ascii="Calibri" w:hAnsi="Calibri"/>
                <w:sz w:val="18"/>
                <w:szCs w:val="18"/>
              </w:rPr>
              <w:t>0,934</w:t>
            </w:r>
          </w:p>
        </w:tc>
        <w:tc>
          <w:tcPr>
            <w:tcW w:w="1193" w:type="dxa"/>
            <w:noWrap/>
            <w:vAlign w:val="bottom"/>
            <w:hideMark/>
          </w:tcPr>
          <w:p w14:paraId="34A547D0"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0,18</w:t>
            </w:r>
          </w:p>
        </w:tc>
        <w:tc>
          <w:tcPr>
            <w:tcW w:w="992" w:type="dxa"/>
            <w:noWrap/>
            <w:vAlign w:val="bottom"/>
            <w:hideMark/>
          </w:tcPr>
          <w:p w14:paraId="43C0CE27" w14:textId="77777777" w:rsidR="00E80ADC" w:rsidRPr="00C851D8" w:rsidRDefault="00E80ADC" w:rsidP="00E64253">
            <w:pPr>
              <w:jc w:val="right"/>
              <w:rPr>
                <w:rFonts w:ascii="Calibri" w:hAnsi="Calibri"/>
                <w:sz w:val="18"/>
                <w:szCs w:val="18"/>
              </w:rPr>
            </w:pPr>
            <w:r w:rsidRPr="00C851D8">
              <w:rPr>
                <w:rFonts w:ascii="Calibri" w:hAnsi="Calibri"/>
                <w:sz w:val="18"/>
                <w:szCs w:val="18"/>
              </w:rPr>
              <w:t>1,394</w:t>
            </w:r>
          </w:p>
        </w:tc>
        <w:tc>
          <w:tcPr>
            <w:tcW w:w="1276" w:type="dxa"/>
            <w:noWrap/>
            <w:vAlign w:val="bottom"/>
            <w:hideMark/>
          </w:tcPr>
          <w:p w14:paraId="56B194F8"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0,18</w:t>
            </w:r>
          </w:p>
        </w:tc>
      </w:tr>
      <w:tr w:rsidR="00E80ADC" w:rsidRPr="002A729A" w14:paraId="00F470EA" w14:textId="77777777" w:rsidTr="0087586D">
        <w:trPr>
          <w:trHeight w:val="300"/>
        </w:trPr>
        <w:tc>
          <w:tcPr>
            <w:tcW w:w="3227" w:type="dxa"/>
            <w:vMerge/>
            <w:shd w:val="clear" w:color="auto" w:fill="FFFFFF" w:themeFill="background1"/>
            <w:noWrap/>
            <w:hideMark/>
          </w:tcPr>
          <w:p w14:paraId="01B55F88" w14:textId="77777777" w:rsidR="00E80ADC" w:rsidRPr="00C851D8" w:rsidRDefault="00E80ADC" w:rsidP="00E64253">
            <w:pPr>
              <w:rPr>
                <w:b/>
                <w:sz w:val="18"/>
                <w:szCs w:val="18"/>
              </w:rPr>
            </w:pPr>
          </w:p>
        </w:tc>
        <w:tc>
          <w:tcPr>
            <w:tcW w:w="10773" w:type="dxa"/>
            <w:gridSpan w:val="10"/>
            <w:noWrap/>
            <w:vAlign w:val="bottom"/>
            <w:hideMark/>
          </w:tcPr>
          <w:p w14:paraId="261EA6DF" w14:textId="77777777" w:rsidR="00E80ADC" w:rsidRPr="00C851D8" w:rsidRDefault="00E80ADC" w:rsidP="00E64253">
            <w:pPr>
              <w:jc w:val="center"/>
              <w:rPr>
                <w:rFonts w:ascii="Calibri" w:hAnsi="Calibri"/>
                <w:b/>
                <w:sz w:val="18"/>
                <w:szCs w:val="18"/>
                <w:lang w:val="en-GB"/>
              </w:rPr>
            </w:pPr>
            <w:r w:rsidRPr="00C851D8">
              <w:rPr>
                <w:rFonts w:ascii="Calibri" w:hAnsi="Calibri"/>
                <w:b/>
                <w:sz w:val="18"/>
                <w:szCs w:val="18"/>
                <w:lang w:val="en-GB"/>
              </w:rPr>
              <w:t xml:space="preserve">Reference (mmol/L): </w:t>
            </w:r>
            <w:r>
              <w:rPr>
                <w:rFonts w:ascii="Calibri" w:hAnsi="Calibri"/>
                <w:b/>
                <w:sz w:val="18"/>
                <w:szCs w:val="18"/>
                <w:lang w:val="en-GB"/>
              </w:rPr>
              <w:t>M 10-15y: 0.362-1,413,</w:t>
            </w:r>
            <w:r w:rsidRPr="00C851D8">
              <w:rPr>
                <w:rFonts w:ascii="Calibri" w:hAnsi="Calibri"/>
                <w:b/>
                <w:sz w:val="18"/>
                <w:szCs w:val="18"/>
                <w:lang w:val="en-GB"/>
              </w:rPr>
              <w:t xml:space="preserve"> M 15-20y: 0.418-1,672, F 10-15y: 0.418-1.48; F 15-20y: 0.441-1,492</w:t>
            </w:r>
          </w:p>
        </w:tc>
      </w:tr>
      <w:tr w:rsidR="00E80ADC" w:rsidRPr="00C851D8" w14:paraId="55480B1A" w14:textId="77777777" w:rsidTr="0087586D">
        <w:trPr>
          <w:trHeight w:val="300"/>
        </w:trPr>
        <w:tc>
          <w:tcPr>
            <w:tcW w:w="3227" w:type="dxa"/>
            <w:vMerge w:val="restart"/>
            <w:shd w:val="clear" w:color="auto" w:fill="FFFFFF" w:themeFill="background1"/>
            <w:noWrap/>
            <w:hideMark/>
          </w:tcPr>
          <w:p w14:paraId="3C9C7875" w14:textId="652CC3C7" w:rsidR="00E80ADC" w:rsidRPr="00FD0654" w:rsidRDefault="00E80ADC" w:rsidP="00E64253">
            <w:pPr>
              <w:rPr>
                <w:b/>
                <w:sz w:val="18"/>
                <w:szCs w:val="18"/>
                <w:lang w:val="en-GB"/>
              </w:rPr>
            </w:pPr>
            <w:r w:rsidRPr="00FD0654">
              <w:rPr>
                <w:b/>
                <w:sz w:val="18"/>
                <w:szCs w:val="18"/>
                <w:lang w:val="en-GB"/>
              </w:rPr>
              <w:t>Total cholesterol</w:t>
            </w:r>
            <w:r w:rsidR="007A7B24">
              <w:rPr>
                <w:b/>
                <w:sz w:val="18"/>
                <w:szCs w:val="18"/>
                <w:lang w:val="en-GB"/>
              </w:rPr>
              <w:t xml:space="preserve"> (mmol/L)</w:t>
            </w:r>
          </w:p>
          <w:p w14:paraId="59C5E3DD" w14:textId="77777777" w:rsidR="00E80ADC" w:rsidRPr="00C851D8" w:rsidRDefault="00E80ADC" w:rsidP="00E64253">
            <w:pPr>
              <w:rPr>
                <w:b/>
                <w:sz w:val="18"/>
                <w:szCs w:val="18"/>
                <w:lang w:val="en-GB"/>
              </w:rPr>
            </w:pPr>
            <w:r w:rsidRPr="00C851D8">
              <w:rPr>
                <w:sz w:val="16"/>
                <w:szCs w:val="16"/>
                <w:lang w:val="en-GB"/>
              </w:rPr>
              <w:t>Enzymatic colorimetric method (GPO-PAP and CHOD-PAP, Roche Diagnostics c701 (a+b))</w:t>
            </w:r>
          </w:p>
        </w:tc>
        <w:tc>
          <w:tcPr>
            <w:tcW w:w="1044" w:type="dxa"/>
            <w:noWrap/>
            <w:vAlign w:val="bottom"/>
            <w:hideMark/>
          </w:tcPr>
          <w:p w14:paraId="17C385E8" w14:textId="77777777" w:rsidR="00E80ADC" w:rsidRPr="00C851D8" w:rsidRDefault="00E80ADC" w:rsidP="00E64253">
            <w:pPr>
              <w:jc w:val="right"/>
              <w:rPr>
                <w:rFonts w:ascii="Calibri" w:hAnsi="Calibri"/>
                <w:sz w:val="18"/>
                <w:szCs w:val="18"/>
              </w:rPr>
            </w:pPr>
            <w:r w:rsidRPr="00C851D8">
              <w:rPr>
                <w:rFonts w:ascii="Calibri" w:hAnsi="Calibri"/>
                <w:sz w:val="18"/>
                <w:szCs w:val="18"/>
              </w:rPr>
              <w:t>4,153</w:t>
            </w:r>
          </w:p>
        </w:tc>
        <w:tc>
          <w:tcPr>
            <w:tcW w:w="1045" w:type="dxa"/>
            <w:noWrap/>
            <w:vAlign w:val="bottom"/>
            <w:hideMark/>
          </w:tcPr>
          <w:p w14:paraId="42F4C8FB" w14:textId="77777777" w:rsidR="00E80ADC" w:rsidRPr="00C851D8" w:rsidRDefault="00E80ADC" w:rsidP="00E64253">
            <w:pPr>
              <w:jc w:val="right"/>
              <w:rPr>
                <w:rFonts w:ascii="Calibri" w:hAnsi="Calibri"/>
                <w:sz w:val="18"/>
                <w:szCs w:val="18"/>
              </w:rPr>
            </w:pPr>
            <w:r w:rsidRPr="00C851D8">
              <w:rPr>
                <w:rFonts w:ascii="Calibri" w:hAnsi="Calibri"/>
                <w:sz w:val="18"/>
                <w:szCs w:val="18"/>
              </w:rPr>
              <w:t>4,348</w:t>
            </w:r>
          </w:p>
        </w:tc>
        <w:tc>
          <w:tcPr>
            <w:tcW w:w="1045" w:type="dxa"/>
            <w:noWrap/>
            <w:vAlign w:val="bottom"/>
            <w:hideMark/>
          </w:tcPr>
          <w:p w14:paraId="43CF2BC3"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0,182</w:t>
            </w:r>
          </w:p>
        </w:tc>
        <w:tc>
          <w:tcPr>
            <w:tcW w:w="1044" w:type="dxa"/>
            <w:noWrap/>
            <w:vAlign w:val="bottom"/>
            <w:hideMark/>
          </w:tcPr>
          <w:p w14:paraId="7DCEA4DD" w14:textId="77777777" w:rsidR="00E80ADC" w:rsidRPr="00C851D8" w:rsidRDefault="00E80ADC" w:rsidP="00E64253">
            <w:pPr>
              <w:jc w:val="right"/>
              <w:rPr>
                <w:rFonts w:ascii="Calibri" w:hAnsi="Calibri"/>
                <w:sz w:val="18"/>
                <w:szCs w:val="18"/>
              </w:rPr>
            </w:pPr>
            <w:r w:rsidRPr="00C851D8">
              <w:rPr>
                <w:rFonts w:ascii="Calibri" w:hAnsi="Calibri"/>
                <w:sz w:val="18"/>
                <w:szCs w:val="18"/>
              </w:rPr>
              <w:t>4,237</w:t>
            </w:r>
          </w:p>
        </w:tc>
        <w:tc>
          <w:tcPr>
            <w:tcW w:w="1045" w:type="dxa"/>
            <w:noWrap/>
            <w:vAlign w:val="bottom"/>
            <w:hideMark/>
          </w:tcPr>
          <w:p w14:paraId="7B97A7FF"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0,218</w:t>
            </w:r>
          </w:p>
        </w:tc>
        <w:tc>
          <w:tcPr>
            <w:tcW w:w="1045" w:type="dxa"/>
            <w:noWrap/>
            <w:vAlign w:val="bottom"/>
            <w:hideMark/>
          </w:tcPr>
          <w:p w14:paraId="0414C944" w14:textId="77777777" w:rsidR="00E80ADC" w:rsidRPr="00C851D8" w:rsidRDefault="00E80ADC" w:rsidP="00E64253">
            <w:pPr>
              <w:jc w:val="right"/>
              <w:rPr>
                <w:rFonts w:ascii="Calibri" w:hAnsi="Calibri"/>
                <w:sz w:val="18"/>
                <w:szCs w:val="18"/>
              </w:rPr>
            </w:pPr>
            <w:r w:rsidRPr="00C851D8">
              <w:rPr>
                <w:rFonts w:ascii="Calibri" w:hAnsi="Calibri"/>
                <w:sz w:val="18"/>
                <w:szCs w:val="18"/>
              </w:rPr>
              <w:t>4,212</w:t>
            </w:r>
          </w:p>
        </w:tc>
        <w:tc>
          <w:tcPr>
            <w:tcW w:w="1044" w:type="dxa"/>
            <w:noWrap/>
            <w:vAlign w:val="bottom"/>
            <w:hideMark/>
          </w:tcPr>
          <w:p w14:paraId="2C79F146" w14:textId="77777777" w:rsidR="00E80ADC" w:rsidRPr="00C851D8" w:rsidRDefault="00E80ADC" w:rsidP="00E64253">
            <w:pPr>
              <w:jc w:val="right"/>
              <w:rPr>
                <w:rFonts w:ascii="Calibri" w:hAnsi="Calibri"/>
                <w:sz w:val="18"/>
                <w:szCs w:val="18"/>
              </w:rPr>
            </w:pPr>
            <w:r w:rsidRPr="00C851D8">
              <w:rPr>
                <w:rFonts w:ascii="Calibri" w:hAnsi="Calibri"/>
                <w:sz w:val="18"/>
                <w:szCs w:val="18"/>
              </w:rPr>
              <w:t>4,099</w:t>
            </w:r>
          </w:p>
        </w:tc>
        <w:tc>
          <w:tcPr>
            <w:tcW w:w="1193" w:type="dxa"/>
            <w:noWrap/>
            <w:vAlign w:val="bottom"/>
            <w:hideMark/>
          </w:tcPr>
          <w:p w14:paraId="5D29CD6A"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0,504</w:t>
            </w:r>
          </w:p>
        </w:tc>
        <w:tc>
          <w:tcPr>
            <w:tcW w:w="992" w:type="dxa"/>
            <w:noWrap/>
            <w:vAlign w:val="bottom"/>
            <w:hideMark/>
          </w:tcPr>
          <w:p w14:paraId="27BA442F" w14:textId="77777777" w:rsidR="00E80ADC" w:rsidRPr="00C851D8" w:rsidRDefault="00E80ADC" w:rsidP="00E64253">
            <w:pPr>
              <w:jc w:val="right"/>
              <w:rPr>
                <w:rFonts w:ascii="Calibri" w:hAnsi="Calibri"/>
                <w:sz w:val="18"/>
                <w:szCs w:val="18"/>
              </w:rPr>
            </w:pPr>
            <w:r w:rsidRPr="00C851D8">
              <w:rPr>
                <w:rFonts w:ascii="Calibri" w:hAnsi="Calibri"/>
                <w:sz w:val="18"/>
                <w:szCs w:val="18"/>
              </w:rPr>
              <w:t>4,450</w:t>
            </w:r>
          </w:p>
        </w:tc>
        <w:tc>
          <w:tcPr>
            <w:tcW w:w="1276" w:type="dxa"/>
            <w:noWrap/>
            <w:vAlign w:val="bottom"/>
            <w:hideMark/>
          </w:tcPr>
          <w:p w14:paraId="2FD68F66"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0,11</w:t>
            </w:r>
          </w:p>
        </w:tc>
      </w:tr>
      <w:tr w:rsidR="00E80ADC" w:rsidRPr="002A729A" w14:paraId="3E8273E0" w14:textId="77777777" w:rsidTr="0087586D">
        <w:trPr>
          <w:trHeight w:val="300"/>
        </w:trPr>
        <w:tc>
          <w:tcPr>
            <w:tcW w:w="3227" w:type="dxa"/>
            <w:vMerge/>
            <w:shd w:val="clear" w:color="auto" w:fill="FFFFFF" w:themeFill="background1"/>
            <w:noWrap/>
            <w:hideMark/>
          </w:tcPr>
          <w:p w14:paraId="47DED67C" w14:textId="77777777" w:rsidR="00E80ADC" w:rsidRPr="00C851D8" w:rsidRDefault="00E80ADC" w:rsidP="00E64253">
            <w:pPr>
              <w:rPr>
                <w:b/>
                <w:sz w:val="18"/>
                <w:szCs w:val="18"/>
              </w:rPr>
            </w:pPr>
          </w:p>
        </w:tc>
        <w:tc>
          <w:tcPr>
            <w:tcW w:w="10773" w:type="dxa"/>
            <w:gridSpan w:val="10"/>
            <w:noWrap/>
            <w:vAlign w:val="bottom"/>
            <w:hideMark/>
          </w:tcPr>
          <w:p w14:paraId="4AD73E6B" w14:textId="77777777" w:rsidR="00E80ADC" w:rsidRPr="00C851D8" w:rsidRDefault="00E80ADC" w:rsidP="00E64253">
            <w:pPr>
              <w:jc w:val="center"/>
              <w:rPr>
                <w:rFonts w:ascii="Calibri" w:hAnsi="Calibri"/>
                <w:b/>
                <w:sz w:val="18"/>
                <w:szCs w:val="18"/>
                <w:lang w:val="en-GB"/>
              </w:rPr>
            </w:pPr>
            <w:r w:rsidRPr="00C851D8">
              <w:rPr>
                <w:rFonts w:ascii="Calibri" w:hAnsi="Calibri"/>
                <w:b/>
                <w:sz w:val="18"/>
                <w:szCs w:val="18"/>
                <w:lang w:val="en-GB"/>
              </w:rPr>
              <w:t xml:space="preserve">Reference </w:t>
            </w:r>
            <w:r>
              <w:rPr>
                <w:rFonts w:ascii="Calibri" w:hAnsi="Calibri"/>
                <w:b/>
                <w:sz w:val="18"/>
                <w:szCs w:val="18"/>
                <w:lang w:val="en-GB"/>
              </w:rPr>
              <w:t>(mmol/L): M 10-15y: 3.082-5.232,</w:t>
            </w:r>
            <w:r w:rsidRPr="00C851D8">
              <w:rPr>
                <w:rFonts w:ascii="Calibri" w:hAnsi="Calibri"/>
                <w:b/>
                <w:sz w:val="18"/>
                <w:szCs w:val="18"/>
                <w:lang w:val="en-GB"/>
              </w:rPr>
              <w:t xml:space="preserve"> M 15-20y: 2.92</w:t>
            </w:r>
            <w:r>
              <w:rPr>
                <w:rFonts w:ascii="Calibri" w:hAnsi="Calibri"/>
                <w:b/>
                <w:sz w:val="18"/>
                <w:szCs w:val="18"/>
                <w:lang w:val="en-GB"/>
              </w:rPr>
              <w:t xml:space="preserve">7-5.102, F 10-15y: 3.212-5.206, </w:t>
            </w:r>
            <w:r w:rsidRPr="00C851D8">
              <w:rPr>
                <w:rFonts w:ascii="Calibri" w:hAnsi="Calibri"/>
                <w:b/>
                <w:sz w:val="18"/>
                <w:szCs w:val="18"/>
                <w:lang w:val="en-GB"/>
              </w:rPr>
              <w:t>F 15-20y: 3.108-5.258</w:t>
            </w:r>
          </w:p>
        </w:tc>
      </w:tr>
      <w:tr w:rsidR="00E80ADC" w:rsidRPr="00C851D8" w14:paraId="51F53633" w14:textId="77777777" w:rsidTr="0087586D">
        <w:trPr>
          <w:trHeight w:val="300"/>
        </w:trPr>
        <w:tc>
          <w:tcPr>
            <w:tcW w:w="3227" w:type="dxa"/>
            <w:vMerge w:val="restart"/>
            <w:shd w:val="clear" w:color="auto" w:fill="FFFFFF" w:themeFill="background1"/>
            <w:noWrap/>
            <w:hideMark/>
          </w:tcPr>
          <w:p w14:paraId="2DA42C85" w14:textId="1C568FA8" w:rsidR="00E80ADC" w:rsidRPr="00FD0654" w:rsidRDefault="00E80ADC" w:rsidP="00E64253">
            <w:pPr>
              <w:rPr>
                <w:b/>
                <w:sz w:val="18"/>
                <w:szCs w:val="18"/>
                <w:lang w:val="en-GB"/>
              </w:rPr>
            </w:pPr>
            <w:r w:rsidRPr="00FD0654">
              <w:rPr>
                <w:b/>
                <w:sz w:val="18"/>
                <w:szCs w:val="18"/>
                <w:lang w:val="en-GB"/>
              </w:rPr>
              <w:t xml:space="preserve">High Density Lipoprotein </w:t>
            </w:r>
            <w:r w:rsidR="007A7B24">
              <w:rPr>
                <w:b/>
                <w:sz w:val="18"/>
                <w:szCs w:val="18"/>
                <w:lang w:val="en-GB"/>
              </w:rPr>
              <w:t>(mmol/L)</w:t>
            </w:r>
          </w:p>
          <w:p w14:paraId="0E4CC37C" w14:textId="77777777" w:rsidR="00E80ADC" w:rsidRPr="00C851D8" w:rsidRDefault="00E80ADC" w:rsidP="00E64253">
            <w:pPr>
              <w:rPr>
                <w:b/>
                <w:sz w:val="18"/>
                <w:szCs w:val="18"/>
                <w:lang w:val="en-GB"/>
              </w:rPr>
            </w:pPr>
            <w:r w:rsidRPr="00C851D8">
              <w:rPr>
                <w:sz w:val="16"/>
                <w:szCs w:val="16"/>
                <w:lang w:val="en-GB"/>
              </w:rPr>
              <w:t>Enzymatic colorimetric method (Roche Diagnostics c701 (a+b))</w:t>
            </w:r>
          </w:p>
        </w:tc>
        <w:tc>
          <w:tcPr>
            <w:tcW w:w="1044" w:type="dxa"/>
            <w:noWrap/>
            <w:vAlign w:val="bottom"/>
            <w:hideMark/>
          </w:tcPr>
          <w:p w14:paraId="31F4255E" w14:textId="77777777" w:rsidR="00E80ADC" w:rsidRPr="00C851D8" w:rsidRDefault="00E80ADC" w:rsidP="00E64253">
            <w:pPr>
              <w:jc w:val="right"/>
              <w:rPr>
                <w:rFonts w:ascii="Calibri" w:hAnsi="Calibri"/>
                <w:sz w:val="18"/>
                <w:szCs w:val="18"/>
              </w:rPr>
            </w:pPr>
            <w:r w:rsidRPr="00C851D8">
              <w:rPr>
                <w:rFonts w:ascii="Calibri" w:hAnsi="Calibri"/>
                <w:sz w:val="18"/>
                <w:szCs w:val="18"/>
              </w:rPr>
              <w:t>1,481</w:t>
            </w:r>
          </w:p>
        </w:tc>
        <w:tc>
          <w:tcPr>
            <w:tcW w:w="1045" w:type="dxa"/>
            <w:noWrap/>
            <w:vAlign w:val="bottom"/>
            <w:hideMark/>
          </w:tcPr>
          <w:p w14:paraId="7E4A5F43" w14:textId="77777777" w:rsidR="00E80ADC" w:rsidRPr="00C851D8" w:rsidRDefault="00E80ADC" w:rsidP="00E64253">
            <w:pPr>
              <w:jc w:val="right"/>
              <w:rPr>
                <w:rFonts w:ascii="Calibri" w:hAnsi="Calibri"/>
                <w:sz w:val="18"/>
                <w:szCs w:val="18"/>
              </w:rPr>
            </w:pPr>
            <w:r w:rsidRPr="00C851D8">
              <w:rPr>
                <w:rFonts w:ascii="Calibri" w:hAnsi="Calibri"/>
                <w:sz w:val="18"/>
                <w:szCs w:val="18"/>
              </w:rPr>
              <w:t>1,096</w:t>
            </w:r>
          </w:p>
        </w:tc>
        <w:tc>
          <w:tcPr>
            <w:tcW w:w="1045" w:type="dxa"/>
            <w:noWrap/>
            <w:vAlign w:val="bottom"/>
            <w:hideMark/>
          </w:tcPr>
          <w:p w14:paraId="06357E8F"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&lt;0,001</w:t>
            </w:r>
          </w:p>
        </w:tc>
        <w:tc>
          <w:tcPr>
            <w:tcW w:w="1044" w:type="dxa"/>
            <w:noWrap/>
            <w:vAlign w:val="bottom"/>
            <w:hideMark/>
          </w:tcPr>
          <w:p w14:paraId="4D44F91C" w14:textId="77777777" w:rsidR="00E80ADC" w:rsidRPr="00C851D8" w:rsidRDefault="00E80ADC" w:rsidP="00E64253">
            <w:pPr>
              <w:jc w:val="right"/>
              <w:rPr>
                <w:rFonts w:ascii="Calibri" w:hAnsi="Calibri"/>
                <w:sz w:val="18"/>
                <w:szCs w:val="18"/>
              </w:rPr>
            </w:pPr>
            <w:r w:rsidRPr="00C851D8">
              <w:rPr>
                <w:rFonts w:ascii="Calibri" w:hAnsi="Calibri"/>
                <w:sz w:val="18"/>
                <w:szCs w:val="18"/>
              </w:rPr>
              <w:t>1,017</w:t>
            </w:r>
          </w:p>
        </w:tc>
        <w:tc>
          <w:tcPr>
            <w:tcW w:w="1045" w:type="dxa"/>
            <w:noWrap/>
            <w:vAlign w:val="bottom"/>
            <w:hideMark/>
          </w:tcPr>
          <w:p w14:paraId="6A1573BF"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0,002</w:t>
            </w:r>
          </w:p>
        </w:tc>
        <w:tc>
          <w:tcPr>
            <w:tcW w:w="1045" w:type="dxa"/>
            <w:noWrap/>
            <w:vAlign w:val="bottom"/>
            <w:hideMark/>
          </w:tcPr>
          <w:p w14:paraId="540658A7" w14:textId="77777777" w:rsidR="00E80ADC" w:rsidRPr="00C851D8" w:rsidRDefault="00E80ADC" w:rsidP="00E64253">
            <w:pPr>
              <w:jc w:val="right"/>
              <w:rPr>
                <w:rFonts w:ascii="Calibri" w:hAnsi="Calibri"/>
                <w:sz w:val="18"/>
                <w:szCs w:val="18"/>
              </w:rPr>
            </w:pPr>
            <w:r w:rsidRPr="00C851D8">
              <w:rPr>
                <w:rFonts w:ascii="Calibri" w:hAnsi="Calibri"/>
                <w:sz w:val="18"/>
                <w:szCs w:val="18"/>
              </w:rPr>
              <w:t>1,098</w:t>
            </w:r>
          </w:p>
        </w:tc>
        <w:tc>
          <w:tcPr>
            <w:tcW w:w="1044" w:type="dxa"/>
            <w:noWrap/>
            <w:vAlign w:val="bottom"/>
            <w:hideMark/>
          </w:tcPr>
          <w:p w14:paraId="1283D896" w14:textId="77777777" w:rsidR="00E80ADC" w:rsidRPr="00C851D8" w:rsidRDefault="00E80ADC" w:rsidP="00E64253">
            <w:pPr>
              <w:jc w:val="right"/>
              <w:rPr>
                <w:rFonts w:ascii="Calibri" w:hAnsi="Calibri"/>
                <w:sz w:val="18"/>
                <w:szCs w:val="18"/>
              </w:rPr>
            </w:pPr>
            <w:r w:rsidRPr="00C851D8">
              <w:rPr>
                <w:rFonts w:ascii="Calibri" w:hAnsi="Calibri"/>
                <w:sz w:val="18"/>
                <w:szCs w:val="18"/>
              </w:rPr>
              <w:t>1,194</w:t>
            </w:r>
          </w:p>
        </w:tc>
        <w:tc>
          <w:tcPr>
            <w:tcW w:w="1193" w:type="dxa"/>
            <w:noWrap/>
            <w:vAlign w:val="bottom"/>
            <w:hideMark/>
          </w:tcPr>
          <w:p w14:paraId="6718A4C4"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0,419</w:t>
            </w:r>
          </w:p>
        </w:tc>
        <w:tc>
          <w:tcPr>
            <w:tcW w:w="992" w:type="dxa"/>
            <w:noWrap/>
            <w:vAlign w:val="bottom"/>
            <w:hideMark/>
          </w:tcPr>
          <w:p w14:paraId="3775EED6" w14:textId="77777777" w:rsidR="00E80ADC" w:rsidRPr="00C851D8" w:rsidRDefault="00E80ADC" w:rsidP="00E64253">
            <w:pPr>
              <w:jc w:val="right"/>
              <w:rPr>
                <w:rFonts w:ascii="Calibri" w:hAnsi="Calibri"/>
                <w:sz w:val="18"/>
                <w:szCs w:val="18"/>
              </w:rPr>
            </w:pPr>
            <w:r w:rsidRPr="00C851D8">
              <w:rPr>
                <w:rFonts w:ascii="Calibri" w:hAnsi="Calibri"/>
                <w:sz w:val="18"/>
                <w:szCs w:val="18"/>
              </w:rPr>
              <w:t>1,085</w:t>
            </w:r>
          </w:p>
        </w:tc>
        <w:tc>
          <w:tcPr>
            <w:tcW w:w="1276" w:type="dxa"/>
            <w:noWrap/>
            <w:vAlign w:val="bottom"/>
            <w:hideMark/>
          </w:tcPr>
          <w:p w14:paraId="42585658"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0,77</w:t>
            </w:r>
          </w:p>
        </w:tc>
      </w:tr>
      <w:tr w:rsidR="00E80ADC" w:rsidRPr="002A729A" w14:paraId="6CA0BAFE" w14:textId="77777777" w:rsidTr="0087586D">
        <w:trPr>
          <w:trHeight w:val="300"/>
        </w:trPr>
        <w:tc>
          <w:tcPr>
            <w:tcW w:w="3227" w:type="dxa"/>
            <w:vMerge/>
            <w:shd w:val="clear" w:color="auto" w:fill="FFFFFF" w:themeFill="background1"/>
            <w:noWrap/>
            <w:hideMark/>
          </w:tcPr>
          <w:p w14:paraId="472D2043" w14:textId="77777777" w:rsidR="00E80ADC" w:rsidRPr="00C851D8" w:rsidRDefault="00E80ADC" w:rsidP="00E64253">
            <w:pPr>
              <w:rPr>
                <w:b/>
                <w:sz w:val="18"/>
                <w:szCs w:val="18"/>
              </w:rPr>
            </w:pPr>
          </w:p>
        </w:tc>
        <w:tc>
          <w:tcPr>
            <w:tcW w:w="10773" w:type="dxa"/>
            <w:gridSpan w:val="10"/>
            <w:noWrap/>
            <w:vAlign w:val="bottom"/>
            <w:hideMark/>
          </w:tcPr>
          <w:p w14:paraId="293B8D19" w14:textId="77777777" w:rsidR="00E80ADC" w:rsidRPr="00C851D8" w:rsidRDefault="00E80ADC" w:rsidP="00E64253">
            <w:pPr>
              <w:jc w:val="center"/>
              <w:rPr>
                <w:rFonts w:ascii="Calibri" w:hAnsi="Calibri"/>
                <w:b/>
                <w:sz w:val="18"/>
                <w:szCs w:val="18"/>
                <w:lang w:val="en-GB"/>
              </w:rPr>
            </w:pPr>
            <w:r w:rsidRPr="00C851D8">
              <w:rPr>
                <w:rFonts w:ascii="Calibri" w:hAnsi="Calibri"/>
                <w:b/>
                <w:sz w:val="18"/>
                <w:szCs w:val="18"/>
                <w:lang w:val="en-GB"/>
              </w:rPr>
              <w:t>Reference (mmol/L): M: 0.829-1.865, F: 1.010-2.486</w:t>
            </w:r>
          </w:p>
        </w:tc>
      </w:tr>
      <w:tr w:rsidR="00E80ADC" w:rsidRPr="00C851D8" w14:paraId="161BEAAD" w14:textId="77777777" w:rsidTr="0087586D">
        <w:trPr>
          <w:trHeight w:val="300"/>
        </w:trPr>
        <w:tc>
          <w:tcPr>
            <w:tcW w:w="3227" w:type="dxa"/>
            <w:vMerge w:val="restart"/>
            <w:shd w:val="clear" w:color="auto" w:fill="FFFFFF" w:themeFill="background1"/>
            <w:noWrap/>
            <w:hideMark/>
          </w:tcPr>
          <w:p w14:paraId="6D3283FA" w14:textId="36F4CE36" w:rsidR="00E80ADC" w:rsidRPr="007A7B24" w:rsidRDefault="00E80ADC" w:rsidP="00E64253">
            <w:pPr>
              <w:rPr>
                <w:b/>
                <w:sz w:val="18"/>
                <w:szCs w:val="18"/>
                <w:lang w:val="en-US"/>
              </w:rPr>
            </w:pPr>
            <w:r w:rsidRPr="007A7B24">
              <w:rPr>
                <w:b/>
                <w:sz w:val="18"/>
                <w:szCs w:val="18"/>
                <w:lang w:val="en-US"/>
              </w:rPr>
              <w:t>Low Density Lipoprotein</w:t>
            </w:r>
            <w:r w:rsidR="007A7B24" w:rsidRPr="007A7B24">
              <w:rPr>
                <w:b/>
                <w:sz w:val="18"/>
                <w:szCs w:val="18"/>
                <w:lang w:val="en-US"/>
              </w:rPr>
              <w:t xml:space="preserve"> (mmol/L)</w:t>
            </w:r>
          </w:p>
          <w:p w14:paraId="45FE08A1" w14:textId="77777777" w:rsidR="00E80ADC" w:rsidRPr="00C851D8" w:rsidRDefault="00E80ADC" w:rsidP="00E64253">
            <w:pPr>
              <w:rPr>
                <w:b/>
                <w:sz w:val="18"/>
                <w:szCs w:val="18"/>
              </w:rPr>
            </w:pPr>
            <w:r w:rsidRPr="00C851D8">
              <w:rPr>
                <w:sz w:val="16"/>
                <w:szCs w:val="16"/>
                <w:lang w:val="en-GB"/>
              </w:rPr>
              <w:t>Calculated</w:t>
            </w:r>
          </w:p>
        </w:tc>
        <w:tc>
          <w:tcPr>
            <w:tcW w:w="1044" w:type="dxa"/>
            <w:noWrap/>
            <w:vAlign w:val="bottom"/>
            <w:hideMark/>
          </w:tcPr>
          <w:p w14:paraId="3D9DD73D" w14:textId="77777777" w:rsidR="00E80ADC" w:rsidRPr="00C851D8" w:rsidRDefault="00E80ADC" w:rsidP="00E64253">
            <w:pPr>
              <w:jc w:val="right"/>
              <w:rPr>
                <w:rFonts w:ascii="Calibri" w:hAnsi="Calibri"/>
                <w:sz w:val="18"/>
                <w:szCs w:val="18"/>
              </w:rPr>
            </w:pPr>
            <w:r w:rsidRPr="00C851D8">
              <w:rPr>
                <w:rFonts w:ascii="Calibri" w:hAnsi="Calibri"/>
                <w:sz w:val="18"/>
                <w:szCs w:val="18"/>
              </w:rPr>
              <w:t>2,379</w:t>
            </w:r>
          </w:p>
        </w:tc>
        <w:tc>
          <w:tcPr>
            <w:tcW w:w="1045" w:type="dxa"/>
            <w:noWrap/>
            <w:vAlign w:val="bottom"/>
            <w:hideMark/>
          </w:tcPr>
          <w:p w14:paraId="6B571553" w14:textId="77777777" w:rsidR="00E80ADC" w:rsidRPr="00C851D8" w:rsidRDefault="00E80ADC" w:rsidP="00E64253">
            <w:pPr>
              <w:jc w:val="right"/>
              <w:rPr>
                <w:rFonts w:ascii="Calibri" w:hAnsi="Calibri"/>
                <w:sz w:val="18"/>
                <w:szCs w:val="18"/>
              </w:rPr>
            </w:pPr>
            <w:r w:rsidRPr="00C851D8">
              <w:rPr>
                <w:rFonts w:ascii="Calibri" w:hAnsi="Calibri"/>
                <w:sz w:val="18"/>
                <w:szCs w:val="18"/>
              </w:rPr>
              <w:t>3,057</w:t>
            </w:r>
          </w:p>
        </w:tc>
        <w:tc>
          <w:tcPr>
            <w:tcW w:w="1045" w:type="dxa"/>
            <w:noWrap/>
            <w:vAlign w:val="bottom"/>
            <w:hideMark/>
          </w:tcPr>
          <w:p w14:paraId="06DA0D03"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0,001</w:t>
            </w:r>
          </w:p>
        </w:tc>
        <w:tc>
          <w:tcPr>
            <w:tcW w:w="1044" w:type="dxa"/>
            <w:noWrap/>
            <w:vAlign w:val="bottom"/>
            <w:hideMark/>
          </w:tcPr>
          <w:p w14:paraId="7631E94E" w14:textId="77777777" w:rsidR="00E80ADC" w:rsidRPr="00C851D8" w:rsidRDefault="00E80ADC" w:rsidP="00E64253">
            <w:pPr>
              <w:jc w:val="right"/>
              <w:rPr>
                <w:rFonts w:ascii="Calibri" w:hAnsi="Calibri"/>
                <w:sz w:val="18"/>
                <w:szCs w:val="18"/>
              </w:rPr>
            </w:pPr>
            <w:r w:rsidRPr="00C851D8">
              <w:rPr>
                <w:rFonts w:ascii="Calibri" w:hAnsi="Calibri"/>
                <w:sz w:val="18"/>
                <w:szCs w:val="18"/>
              </w:rPr>
              <w:t>2,750</w:t>
            </w:r>
          </w:p>
        </w:tc>
        <w:tc>
          <w:tcPr>
            <w:tcW w:w="1045" w:type="dxa"/>
            <w:noWrap/>
            <w:vAlign w:val="bottom"/>
            <w:hideMark/>
          </w:tcPr>
          <w:p w14:paraId="73D03E88"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0,043</w:t>
            </w:r>
          </w:p>
        </w:tc>
        <w:tc>
          <w:tcPr>
            <w:tcW w:w="1045" w:type="dxa"/>
            <w:noWrap/>
            <w:vAlign w:val="bottom"/>
            <w:hideMark/>
          </w:tcPr>
          <w:p w14:paraId="16FBE883" w14:textId="77777777" w:rsidR="00E80ADC" w:rsidRPr="00C851D8" w:rsidRDefault="00E80ADC" w:rsidP="00E64253">
            <w:pPr>
              <w:jc w:val="right"/>
              <w:rPr>
                <w:rFonts w:ascii="Calibri" w:hAnsi="Calibri"/>
                <w:sz w:val="18"/>
                <w:szCs w:val="18"/>
              </w:rPr>
            </w:pPr>
            <w:r w:rsidRPr="00C851D8">
              <w:rPr>
                <w:rFonts w:ascii="Calibri" w:hAnsi="Calibri"/>
                <w:sz w:val="18"/>
                <w:szCs w:val="18"/>
              </w:rPr>
              <w:t>2,794</w:t>
            </w:r>
          </w:p>
        </w:tc>
        <w:tc>
          <w:tcPr>
            <w:tcW w:w="1044" w:type="dxa"/>
            <w:noWrap/>
            <w:vAlign w:val="bottom"/>
            <w:hideMark/>
          </w:tcPr>
          <w:p w14:paraId="59139BDE" w14:textId="77777777" w:rsidR="00E80ADC" w:rsidRPr="00C851D8" w:rsidRDefault="00E80ADC" w:rsidP="00E64253">
            <w:pPr>
              <w:jc w:val="right"/>
              <w:rPr>
                <w:rFonts w:ascii="Calibri" w:hAnsi="Calibri"/>
                <w:sz w:val="18"/>
                <w:szCs w:val="18"/>
              </w:rPr>
            </w:pPr>
            <w:r w:rsidRPr="00C851D8">
              <w:rPr>
                <w:rFonts w:ascii="Calibri" w:hAnsi="Calibri"/>
                <w:sz w:val="18"/>
                <w:szCs w:val="18"/>
              </w:rPr>
              <w:t>2,267</w:t>
            </w:r>
          </w:p>
        </w:tc>
        <w:tc>
          <w:tcPr>
            <w:tcW w:w="1193" w:type="dxa"/>
            <w:noWrap/>
            <w:vAlign w:val="bottom"/>
            <w:hideMark/>
          </w:tcPr>
          <w:p w14:paraId="604F68EA" w14:textId="77777777" w:rsidR="00E80ADC" w:rsidRPr="00C851D8" w:rsidRDefault="00E80ADC" w:rsidP="00E64253">
            <w:pPr>
              <w:jc w:val="right"/>
              <w:rPr>
                <w:rFonts w:ascii="Calibri" w:hAnsi="Calibri"/>
                <w:b/>
                <w:sz w:val="18"/>
                <w:szCs w:val="18"/>
              </w:rPr>
            </w:pPr>
            <w:r>
              <w:rPr>
                <w:rFonts w:ascii="Calibri" w:hAnsi="Calibri"/>
                <w:b/>
                <w:sz w:val="18"/>
                <w:szCs w:val="18"/>
              </w:rPr>
              <w:t>N</w:t>
            </w:r>
            <w:r w:rsidRPr="00C851D8">
              <w:rPr>
                <w:rFonts w:ascii="Calibri" w:hAnsi="Calibri"/>
                <w:b/>
                <w:sz w:val="18"/>
                <w:szCs w:val="18"/>
              </w:rPr>
              <w:t>A</w:t>
            </w:r>
          </w:p>
        </w:tc>
        <w:tc>
          <w:tcPr>
            <w:tcW w:w="992" w:type="dxa"/>
            <w:noWrap/>
            <w:vAlign w:val="bottom"/>
            <w:hideMark/>
          </w:tcPr>
          <w:p w14:paraId="6178CDF8" w14:textId="77777777" w:rsidR="00E80ADC" w:rsidRPr="00C851D8" w:rsidRDefault="00E80ADC" w:rsidP="00E64253">
            <w:pPr>
              <w:jc w:val="right"/>
              <w:rPr>
                <w:rFonts w:ascii="Calibri" w:hAnsi="Calibri"/>
                <w:sz w:val="18"/>
                <w:szCs w:val="18"/>
              </w:rPr>
            </w:pPr>
            <w:r w:rsidRPr="00C851D8">
              <w:rPr>
                <w:rFonts w:ascii="Calibri" w:hAnsi="Calibri"/>
                <w:sz w:val="18"/>
                <w:szCs w:val="18"/>
              </w:rPr>
              <w:t>3,163</w:t>
            </w:r>
          </w:p>
        </w:tc>
        <w:tc>
          <w:tcPr>
            <w:tcW w:w="1276" w:type="dxa"/>
            <w:noWrap/>
            <w:vAlign w:val="bottom"/>
            <w:hideMark/>
          </w:tcPr>
          <w:p w14:paraId="728291AF"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0,09</w:t>
            </w:r>
          </w:p>
        </w:tc>
      </w:tr>
      <w:tr w:rsidR="00E80ADC" w:rsidRPr="002A729A" w14:paraId="34CFE9EC" w14:textId="77777777" w:rsidTr="0087586D">
        <w:trPr>
          <w:trHeight w:val="300"/>
        </w:trPr>
        <w:tc>
          <w:tcPr>
            <w:tcW w:w="3227" w:type="dxa"/>
            <w:vMerge/>
            <w:shd w:val="clear" w:color="auto" w:fill="FFFFFF" w:themeFill="background1"/>
            <w:noWrap/>
            <w:hideMark/>
          </w:tcPr>
          <w:p w14:paraId="4806AB51" w14:textId="77777777" w:rsidR="00E80ADC" w:rsidRPr="00C851D8" w:rsidRDefault="00E80ADC" w:rsidP="00E64253">
            <w:pPr>
              <w:rPr>
                <w:b/>
                <w:sz w:val="18"/>
                <w:szCs w:val="18"/>
              </w:rPr>
            </w:pPr>
          </w:p>
        </w:tc>
        <w:tc>
          <w:tcPr>
            <w:tcW w:w="10773" w:type="dxa"/>
            <w:gridSpan w:val="10"/>
            <w:noWrap/>
            <w:vAlign w:val="bottom"/>
            <w:hideMark/>
          </w:tcPr>
          <w:p w14:paraId="42E70C4E" w14:textId="77777777" w:rsidR="00E80ADC" w:rsidRPr="00C851D8" w:rsidRDefault="00E80ADC" w:rsidP="00E64253">
            <w:pPr>
              <w:jc w:val="center"/>
              <w:rPr>
                <w:rFonts w:ascii="Calibri" w:hAnsi="Calibri"/>
                <w:b/>
                <w:sz w:val="18"/>
                <w:szCs w:val="18"/>
                <w:lang w:val="en-GB"/>
              </w:rPr>
            </w:pPr>
            <w:r w:rsidRPr="00C851D8">
              <w:rPr>
                <w:rFonts w:ascii="Calibri" w:hAnsi="Calibri"/>
                <w:b/>
                <w:sz w:val="18"/>
                <w:szCs w:val="18"/>
                <w:lang w:val="en-GB"/>
              </w:rPr>
              <w:t>Reference (mmol/L): M&lt;20y: 1.606-3.626, F&lt;20y: 1.735-3.626</w:t>
            </w:r>
          </w:p>
        </w:tc>
      </w:tr>
      <w:tr w:rsidR="00E80ADC" w:rsidRPr="00C851D8" w14:paraId="2CB7C0CF" w14:textId="77777777" w:rsidTr="0087586D">
        <w:trPr>
          <w:trHeight w:val="300"/>
        </w:trPr>
        <w:tc>
          <w:tcPr>
            <w:tcW w:w="3227" w:type="dxa"/>
            <w:vMerge w:val="restart"/>
            <w:shd w:val="clear" w:color="auto" w:fill="FFFFFF" w:themeFill="background1"/>
            <w:noWrap/>
            <w:hideMark/>
          </w:tcPr>
          <w:p w14:paraId="274DD78E" w14:textId="77777777" w:rsidR="00E80ADC" w:rsidRPr="00FD0654" w:rsidRDefault="00E80ADC" w:rsidP="00E64253">
            <w:pPr>
              <w:rPr>
                <w:b/>
                <w:sz w:val="18"/>
                <w:szCs w:val="18"/>
                <w:lang w:val="en-GB"/>
              </w:rPr>
            </w:pPr>
            <w:r w:rsidRPr="00FD0654">
              <w:rPr>
                <w:b/>
                <w:sz w:val="18"/>
                <w:szCs w:val="18"/>
                <w:lang w:val="en-GB"/>
              </w:rPr>
              <w:t>Hemoglobin A1c</w:t>
            </w:r>
          </w:p>
          <w:p w14:paraId="70532DBD" w14:textId="77777777" w:rsidR="00E80ADC" w:rsidRPr="00C851D8" w:rsidRDefault="00E80ADC" w:rsidP="00E64253">
            <w:pPr>
              <w:rPr>
                <w:b/>
                <w:sz w:val="18"/>
                <w:szCs w:val="18"/>
                <w:lang w:val="en-GB"/>
              </w:rPr>
            </w:pPr>
            <w:r w:rsidRPr="00C851D8">
              <w:rPr>
                <w:sz w:val="16"/>
                <w:szCs w:val="16"/>
                <w:lang w:val="en-GB"/>
              </w:rPr>
              <w:t>Ion-exchange chromatography (Tosoh HLV-723 G8)</w:t>
            </w:r>
          </w:p>
        </w:tc>
        <w:tc>
          <w:tcPr>
            <w:tcW w:w="1044" w:type="dxa"/>
            <w:noWrap/>
            <w:vAlign w:val="bottom"/>
            <w:hideMark/>
          </w:tcPr>
          <w:p w14:paraId="420E8C9E" w14:textId="77777777" w:rsidR="00E80ADC" w:rsidRPr="00C851D8" w:rsidRDefault="00E80ADC" w:rsidP="00E64253">
            <w:pPr>
              <w:jc w:val="right"/>
              <w:rPr>
                <w:rFonts w:ascii="Calibri" w:hAnsi="Calibri"/>
                <w:sz w:val="18"/>
                <w:szCs w:val="18"/>
              </w:rPr>
            </w:pPr>
            <w:r w:rsidRPr="00C851D8">
              <w:rPr>
                <w:rFonts w:ascii="Calibri" w:hAnsi="Calibri"/>
                <w:sz w:val="18"/>
                <w:szCs w:val="18"/>
              </w:rPr>
              <w:t>0,052</w:t>
            </w:r>
          </w:p>
        </w:tc>
        <w:tc>
          <w:tcPr>
            <w:tcW w:w="1045" w:type="dxa"/>
            <w:noWrap/>
            <w:vAlign w:val="bottom"/>
            <w:hideMark/>
          </w:tcPr>
          <w:p w14:paraId="43356509" w14:textId="77777777" w:rsidR="00E80ADC" w:rsidRPr="00C851D8" w:rsidRDefault="00E80ADC" w:rsidP="00E64253">
            <w:pPr>
              <w:jc w:val="right"/>
              <w:rPr>
                <w:rFonts w:ascii="Calibri" w:hAnsi="Calibri"/>
                <w:sz w:val="18"/>
                <w:szCs w:val="18"/>
              </w:rPr>
            </w:pPr>
            <w:r w:rsidRPr="00C851D8">
              <w:rPr>
                <w:rFonts w:ascii="Calibri" w:hAnsi="Calibri"/>
                <w:sz w:val="18"/>
                <w:szCs w:val="18"/>
              </w:rPr>
              <w:t>0,051</w:t>
            </w:r>
          </w:p>
        </w:tc>
        <w:tc>
          <w:tcPr>
            <w:tcW w:w="1045" w:type="dxa"/>
            <w:noWrap/>
            <w:vAlign w:val="bottom"/>
            <w:hideMark/>
          </w:tcPr>
          <w:p w14:paraId="7271E9BA"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0,228</w:t>
            </w:r>
          </w:p>
        </w:tc>
        <w:tc>
          <w:tcPr>
            <w:tcW w:w="1044" w:type="dxa"/>
            <w:noWrap/>
            <w:vAlign w:val="bottom"/>
            <w:hideMark/>
          </w:tcPr>
          <w:p w14:paraId="17206E26" w14:textId="77777777" w:rsidR="00E80ADC" w:rsidRPr="00C851D8" w:rsidRDefault="00E80ADC" w:rsidP="00E64253">
            <w:pPr>
              <w:jc w:val="right"/>
              <w:rPr>
                <w:rFonts w:ascii="Calibri" w:hAnsi="Calibri"/>
                <w:sz w:val="18"/>
                <w:szCs w:val="18"/>
              </w:rPr>
            </w:pPr>
            <w:r w:rsidRPr="00C851D8">
              <w:rPr>
                <w:rFonts w:ascii="Calibri" w:hAnsi="Calibri"/>
                <w:sz w:val="18"/>
                <w:szCs w:val="18"/>
              </w:rPr>
              <w:t>0,052</w:t>
            </w:r>
          </w:p>
        </w:tc>
        <w:tc>
          <w:tcPr>
            <w:tcW w:w="1045" w:type="dxa"/>
            <w:noWrap/>
            <w:vAlign w:val="bottom"/>
            <w:hideMark/>
          </w:tcPr>
          <w:p w14:paraId="522E58BB"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0,34</w:t>
            </w:r>
          </w:p>
        </w:tc>
        <w:tc>
          <w:tcPr>
            <w:tcW w:w="1045" w:type="dxa"/>
            <w:noWrap/>
            <w:vAlign w:val="bottom"/>
            <w:hideMark/>
          </w:tcPr>
          <w:p w14:paraId="570EEF39" w14:textId="77777777" w:rsidR="00E80ADC" w:rsidRPr="00C851D8" w:rsidRDefault="00E80ADC" w:rsidP="00E64253">
            <w:pPr>
              <w:jc w:val="right"/>
              <w:rPr>
                <w:rFonts w:ascii="Calibri" w:hAnsi="Calibri"/>
                <w:sz w:val="18"/>
                <w:szCs w:val="18"/>
              </w:rPr>
            </w:pPr>
            <w:r w:rsidRPr="00C851D8">
              <w:rPr>
                <w:rFonts w:ascii="Calibri" w:hAnsi="Calibri"/>
                <w:sz w:val="18"/>
                <w:szCs w:val="18"/>
              </w:rPr>
              <w:t>0,051</w:t>
            </w:r>
          </w:p>
        </w:tc>
        <w:tc>
          <w:tcPr>
            <w:tcW w:w="1044" w:type="dxa"/>
            <w:noWrap/>
            <w:vAlign w:val="bottom"/>
            <w:hideMark/>
          </w:tcPr>
          <w:p w14:paraId="72FC501F" w14:textId="77777777" w:rsidR="00E80ADC" w:rsidRPr="00C851D8" w:rsidRDefault="00E80ADC" w:rsidP="00E64253">
            <w:pPr>
              <w:jc w:val="right"/>
              <w:rPr>
                <w:rFonts w:ascii="Calibri" w:hAnsi="Calibri"/>
                <w:sz w:val="18"/>
                <w:szCs w:val="18"/>
              </w:rPr>
            </w:pPr>
            <w:r w:rsidRPr="00C851D8">
              <w:rPr>
                <w:rFonts w:ascii="Calibri" w:hAnsi="Calibri"/>
                <w:sz w:val="18"/>
                <w:szCs w:val="18"/>
              </w:rPr>
              <w:t>0,052</w:t>
            </w:r>
          </w:p>
        </w:tc>
        <w:tc>
          <w:tcPr>
            <w:tcW w:w="1193" w:type="dxa"/>
            <w:noWrap/>
            <w:vAlign w:val="bottom"/>
            <w:hideMark/>
          </w:tcPr>
          <w:p w14:paraId="549A9D1D"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0,102</w:t>
            </w:r>
          </w:p>
        </w:tc>
        <w:tc>
          <w:tcPr>
            <w:tcW w:w="992" w:type="dxa"/>
            <w:noWrap/>
            <w:vAlign w:val="bottom"/>
            <w:hideMark/>
          </w:tcPr>
          <w:p w14:paraId="4A8A3215" w14:textId="77777777" w:rsidR="00E80ADC" w:rsidRPr="00C851D8" w:rsidRDefault="00E80ADC" w:rsidP="00E64253">
            <w:pPr>
              <w:jc w:val="right"/>
              <w:rPr>
                <w:rFonts w:ascii="Calibri" w:hAnsi="Calibri"/>
                <w:sz w:val="18"/>
                <w:szCs w:val="18"/>
              </w:rPr>
            </w:pPr>
            <w:r w:rsidRPr="00C851D8">
              <w:rPr>
                <w:rFonts w:ascii="Calibri" w:hAnsi="Calibri"/>
                <w:sz w:val="18"/>
                <w:szCs w:val="18"/>
              </w:rPr>
              <w:t>0,051</w:t>
            </w:r>
          </w:p>
        </w:tc>
        <w:tc>
          <w:tcPr>
            <w:tcW w:w="1276" w:type="dxa"/>
            <w:noWrap/>
            <w:vAlign w:val="bottom"/>
            <w:hideMark/>
          </w:tcPr>
          <w:p w14:paraId="32B03396"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0,317</w:t>
            </w:r>
          </w:p>
        </w:tc>
      </w:tr>
      <w:tr w:rsidR="00E80ADC" w:rsidRPr="002A729A" w14:paraId="0CA7047C" w14:textId="77777777" w:rsidTr="0087586D">
        <w:trPr>
          <w:trHeight w:val="300"/>
        </w:trPr>
        <w:tc>
          <w:tcPr>
            <w:tcW w:w="3227" w:type="dxa"/>
            <w:vMerge/>
            <w:shd w:val="clear" w:color="auto" w:fill="FFFFFF" w:themeFill="background1"/>
            <w:noWrap/>
            <w:hideMark/>
          </w:tcPr>
          <w:p w14:paraId="206C8B56" w14:textId="77777777" w:rsidR="00E80ADC" w:rsidRPr="00C851D8" w:rsidRDefault="00E80ADC" w:rsidP="00E64253">
            <w:pPr>
              <w:rPr>
                <w:b/>
                <w:sz w:val="18"/>
                <w:szCs w:val="18"/>
              </w:rPr>
            </w:pPr>
          </w:p>
        </w:tc>
        <w:tc>
          <w:tcPr>
            <w:tcW w:w="10773" w:type="dxa"/>
            <w:gridSpan w:val="10"/>
            <w:noWrap/>
            <w:vAlign w:val="bottom"/>
            <w:hideMark/>
          </w:tcPr>
          <w:p w14:paraId="7F2A1650" w14:textId="77777777" w:rsidR="00E80ADC" w:rsidRPr="00C851D8" w:rsidRDefault="00E80ADC" w:rsidP="00E64253">
            <w:pPr>
              <w:jc w:val="center"/>
              <w:rPr>
                <w:rFonts w:ascii="Calibri" w:hAnsi="Calibri"/>
                <w:b/>
                <w:sz w:val="18"/>
                <w:szCs w:val="18"/>
                <w:lang w:val="en-GB"/>
              </w:rPr>
            </w:pPr>
            <w:r w:rsidRPr="00C851D8">
              <w:rPr>
                <w:rFonts w:ascii="Calibri" w:hAnsi="Calibri"/>
                <w:b/>
                <w:sz w:val="18"/>
                <w:szCs w:val="18"/>
                <w:lang w:val="en-GB"/>
              </w:rPr>
              <w:t>Reference (Proportion of 1.0): M/F: 0.04-0.055</w:t>
            </w:r>
          </w:p>
        </w:tc>
      </w:tr>
      <w:tr w:rsidR="00E80ADC" w:rsidRPr="00C851D8" w14:paraId="4BC646B4" w14:textId="77777777" w:rsidTr="0087586D">
        <w:trPr>
          <w:trHeight w:val="300"/>
        </w:trPr>
        <w:tc>
          <w:tcPr>
            <w:tcW w:w="3227" w:type="dxa"/>
            <w:vMerge w:val="restart"/>
            <w:shd w:val="clear" w:color="auto" w:fill="FFFFFF" w:themeFill="background1"/>
            <w:noWrap/>
            <w:hideMark/>
          </w:tcPr>
          <w:p w14:paraId="7E63C19D" w14:textId="77777777" w:rsidR="00E80ADC" w:rsidRPr="00C851D8" w:rsidRDefault="00E80ADC" w:rsidP="00E64253">
            <w:pPr>
              <w:rPr>
                <w:b/>
                <w:sz w:val="18"/>
                <w:szCs w:val="18"/>
                <w:lang w:val="en-GB"/>
              </w:rPr>
            </w:pPr>
            <w:r w:rsidRPr="00C851D8">
              <w:rPr>
                <w:b/>
                <w:sz w:val="18"/>
                <w:szCs w:val="18"/>
                <w:lang w:val="en-GB"/>
              </w:rPr>
              <w:t>Homeostasis Model Assessment insulin resistance</w:t>
            </w:r>
          </w:p>
          <w:p w14:paraId="5407A98E" w14:textId="77777777" w:rsidR="00E80ADC" w:rsidRPr="00C851D8" w:rsidRDefault="00E80ADC" w:rsidP="00E64253">
            <w:pPr>
              <w:rPr>
                <w:sz w:val="18"/>
                <w:szCs w:val="18"/>
                <w:lang w:val="en-GB"/>
              </w:rPr>
            </w:pPr>
            <w:r w:rsidRPr="00C851D8">
              <w:rPr>
                <w:sz w:val="18"/>
                <w:szCs w:val="18"/>
                <w:lang w:val="en-GB"/>
              </w:rPr>
              <w:t>Calculated</w:t>
            </w:r>
          </w:p>
        </w:tc>
        <w:tc>
          <w:tcPr>
            <w:tcW w:w="1044" w:type="dxa"/>
            <w:noWrap/>
            <w:vAlign w:val="bottom"/>
            <w:hideMark/>
          </w:tcPr>
          <w:p w14:paraId="4500A0CD" w14:textId="77777777" w:rsidR="00E80ADC" w:rsidRPr="00C851D8" w:rsidRDefault="00E80ADC" w:rsidP="00E64253">
            <w:pPr>
              <w:jc w:val="right"/>
              <w:rPr>
                <w:rFonts w:ascii="Calibri" w:hAnsi="Calibri"/>
                <w:sz w:val="18"/>
                <w:szCs w:val="18"/>
              </w:rPr>
            </w:pPr>
            <w:r w:rsidRPr="00C851D8">
              <w:rPr>
                <w:rFonts w:ascii="Calibri" w:hAnsi="Calibri"/>
                <w:sz w:val="18"/>
                <w:szCs w:val="18"/>
              </w:rPr>
              <w:t>2,99</w:t>
            </w:r>
          </w:p>
        </w:tc>
        <w:tc>
          <w:tcPr>
            <w:tcW w:w="1045" w:type="dxa"/>
            <w:noWrap/>
            <w:vAlign w:val="bottom"/>
            <w:hideMark/>
          </w:tcPr>
          <w:p w14:paraId="4425A7BF" w14:textId="77777777" w:rsidR="00E80ADC" w:rsidRPr="00C851D8" w:rsidRDefault="00E80ADC" w:rsidP="00E64253">
            <w:pPr>
              <w:jc w:val="right"/>
              <w:rPr>
                <w:rFonts w:ascii="Calibri" w:hAnsi="Calibri"/>
                <w:sz w:val="18"/>
                <w:szCs w:val="18"/>
              </w:rPr>
            </w:pPr>
            <w:r w:rsidRPr="00C851D8">
              <w:rPr>
                <w:rFonts w:ascii="Calibri" w:hAnsi="Calibri"/>
                <w:sz w:val="18"/>
                <w:szCs w:val="18"/>
              </w:rPr>
              <w:t>3,11</w:t>
            </w:r>
          </w:p>
        </w:tc>
        <w:tc>
          <w:tcPr>
            <w:tcW w:w="1045" w:type="dxa"/>
            <w:noWrap/>
            <w:vAlign w:val="bottom"/>
            <w:hideMark/>
          </w:tcPr>
          <w:p w14:paraId="73A12AF7"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0,122</w:t>
            </w:r>
          </w:p>
        </w:tc>
        <w:tc>
          <w:tcPr>
            <w:tcW w:w="1044" w:type="dxa"/>
            <w:noWrap/>
            <w:vAlign w:val="bottom"/>
            <w:hideMark/>
          </w:tcPr>
          <w:p w14:paraId="08FA4B1B" w14:textId="77777777" w:rsidR="00E80ADC" w:rsidRPr="00C851D8" w:rsidRDefault="00E80ADC" w:rsidP="00E64253">
            <w:pPr>
              <w:jc w:val="right"/>
              <w:rPr>
                <w:rFonts w:ascii="Calibri" w:hAnsi="Calibri"/>
                <w:sz w:val="18"/>
                <w:szCs w:val="18"/>
              </w:rPr>
            </w:pPr>
            <w:r w:rsidRPr="00C851D8">
              <w:rPr>
                <w:rFonts w:ascii="Calibri" w:hAnsi="Calibri"/>
                <w:sz w:val="18"/>
                <w:szCs w:val="18"/>
              </w:rPr>
              <w:t>2,43</w:t>
            </w:r>
          </w:p>
        </w:tc>
        <w:tc>
          <w:tcPr>
            <w:tcW w:w="1045" w:type="dxa"/>
            <w:noWrap/>
            <w:vAlign w:val="bottom"/>
            <w:hideMark/>
          </w:tcPr>
          <w:p w14:paraId="05200A94"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0,396</w:t>
            </w:r>
          </w:p>
        </w:tc>
        <w:tc>
          <w:tcPr>
            <w:tcW w:w="1045" w:type="dxa"/>
            <w:noWrap/>
            <w:vAlign w:val="bottom"/>
            <w:hideMark/>
          </w:tcPr>
          <w:p w14:paraId="394272FC" w14:textId="77777777" w:rsidR="00E80ADC" w:rsidRPr="00C851D8" w:rsidRDefault="00E80ADC" w:rsidP="00E64253">
            <w:pPr>
              <w:jc w:val="right"/>
              <w:rPr>
                <w:rFonts w:ascii="Calibri" w:hAnsi="Calibri"/>
                <w:sz w:val="18"/>
                <w:szCs w:val="18"/>
              </w:rPr>
            </w:pPr>
            <w:r w:rsidRPr="00C851D8">
              <w:rPr>
                <w:rFonts w:ascii="Calibri" w:hAnsi="Calibri"/>
                <w:sz w:val="18"/>
                <w:szCs w:val="18"/>
              </w:rPr>
              <w:t>2,45</w:t>
            </w:r>
          </w:p>
        </w:tc>
        <w:tc>
          <w:tcPr>
            <w:tcW w:w="1044" w:type="dxa"/>
            <w:noWrap/>
            <w:vAlign w:val="bottom"/>
            <w:hideMark/>
          </w:tcPr>
          <w:p w14:paraId="4541EF42" w14:textId="77777777" w:rsidR="00E80ADC" w:rsidRPr="00C851D8" w:rsidRDefault="00E80ADC" w:rsidP="00E64253">
            <w:pPr>
              <w:jc w:val="right"/>
              <w:rPr>
                <w:rFonts w:ascii="Calibri" w:hAnsi="Calibri"/>
                <w:sz w:val="18"/>
                <w:szCs w:val="18"/>
              </w:rPr>
            </w:pPr>
            <w:r w:rsidRPr="00C851D8">
              <w:rPr>
                <w:rFonts w:ascii="Calibri" w:hAnsi="Calibri"/>
                <w:sz w:val="18"/>
                <w:szCs w:val="18"/>
              </w:rPr>
              <w:t>4,84</w:t>
            </w:r>
          </w:p>
        </w:tc>
        <w:tc>
          <w:tcPr>
            <w:tcW w:w="1193" w:type="dxa"/>
            <w:noWrap/>
            <w:vAlign w:val="bottom"/>
            <w:hideMark/>
          </w:tcPr>
          <w:p w14:paraId="0D849C48" w14:textId="77777777" w:rsidR="00E80ADC" w:rsidRPr="00C851D8" w:rsidRDefault="00E80ADC" w:rsidP="00E64253">
            <w:pPr>
              <w:jc w:val="right"/>
              <w:rPr>
                <w:rFonts w:ascii="Calibri" w:hAnsi="Calibri"/>
                <w:b/>
                <w:sz w:val="18"/>
                <w:szCs w:val="18"/>
              </w:rPr>
            </w:pPr>
            <w:r>
              <w:rPr>
                <w:rFonts w:ascii="Calibri" w:hAnsi="Calibri"/>
                <w:b/>
                <w:sz w:val="18"/>
                <w:szCs w:val="18"/>
              </w:rPr>
              <w:t>NA</w:t>
            </w:r>
          </w:p>
        </w:tc>
        <w:tc>
          <w:tcPr>
            <w:tcW w:w="992" w:type="dxa"/>
            <w:noWrap/>
            <w:vAlign w:val="bottom"/>
            <w:hideMark/>
          </w:tcPr>
          <w:p w14:paraId="336C3FD0" w14:textId="77777777" w:rsidR="00E80ADC" w:rsidRPr="00C851D8" w:rsidRDefault="00E80ADC" w:rsidP="00E64253">
            <w:pPr>
              <w:jc w:val="right"/>
              <w:rPr>
                <w:rFonts w:ascii="Calibri" w:hAnsi="Calibri"/>
                <w:sz w:val="18"/>
                <w:szCs w:val="18"/>
              </w:rPr>
            </w:pPr>
            <w:r w:rsidRPr="00C851D8">
              <w:rPr>
                <w:rFonts w:ascii="Calibri" w:hAnsi="Calibri"/>
                <w:sz w:val="18"/>
                <w:szCs w:val="18"/>
              </w:rPr>
              <w:t>7,44</w:t>
            </w:r>
          </w:p>
        </w:tc>
        <w:tc>
          <w:tcPr>
            <w:tcW w:w="1276" w:type="dxa"/>
            <w:noWrap/>
            <w:vAlign w:val="bottom"/>
            <w:hideMark/>
          </w:tcPr>
          <w:p w14:paraId="5AD8D73E"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0,185</w:t>
            </w:r>
          </w:p>
        </w:tc>
      </w:tr>
      <w:tr w:rsidR="00E80ADC" w:rsidRPr="002A729A" w14:paraId="0B6AD44B" w14:textId="77777777" w:rsidTr="0087586D">
        <w:trPr>
          <w:trHeight w:val="300"/>
        </w:trPr>
        <w:tc>
          <w:tcPr>
            <w:tcW w:w="3227" w:type="dxa"/>
            <w:vMerge/>
            <w:shd w:val="clear" w:color="auto" w:fill="FFFFFF" w:themeFill="background1"/>
            <w:noWrap/>
            <w:hideMark/>
          </w:tcPr>
          <w:p w14:paraId="109357C9" w14:textId="77777777" w:rsidR="00E80ADC" w:rsidRPr="00C851D8" w:rsidRDefault="00E80ADC" w:rsidP="00E64253">
            <w:pPr>
              <w:rPr>
                <w:b/>
                <w:sz w:val="18"/>
                <w:szCs w:val="18"/>
                <w:lang w:val="en-GB"/>
              </w:rPr>
            </w:pPr>
          </w:p>
        </w:tc>
        <w:tc>
          <w:tcPr>
            <w:tcW w:w="10773" w:type="dxa"/>
            <w:gridSpan w:val="10"/>
            <w:noWrap/>
            <w:vAlign w:val="bottom"/>
            <w:hideMark/>
          </w:tcPr>
          <w:p w14:paraId="7F9B7F2D" w14:textId="77777777" w:rsidR="00E80ADC" w:rsidRPr="00EE3440" w:rsidRDefault="00E80ADC" w:rsidP="00E64253">
            <w:pPr>
              <w:jc w:val="center"/>
              <w:rPr>
                <w:rFonts w:ascii="Calibri" w:hAnsi="Calibri"/>
                <w:b/>
                <w:sz w:val="18"/>
                <w:szCs w:val="18"/>
                <w:vertAlign w:val="superscript"/>
                <w:lang w:val="en-GB"/>
              </w:rPr>
            </w:pPr>
            <w:r w:rsidRPr="00EE3440">
              <w:rPr>
                <w:rFonts w:ascii="Calibri" w:hAnsi="Calibri"/>
                <w:b/>
                <w:sz w:val="18"/>
                <w:szCs w:val="18"/>
                <w:lang w:val="en-GB"/>
              </w:rPr>
              <w:t xml:space="preserve">Reference: </w:t>
            </w:r>
            <w:r>
              <w:rPr>
                <w:rFonts w:ascii="Calibri" w:hAnsi="Calibri"/>
                <w:b/>
                <w:sz w:val="18"/>
                <w:szCs w:val="18"/>
                <w:lang w:val="en-GB"/>
              </w:rPr>
              <w:t xml:space="preserve">M </w:t>
            </w:r>
            <w:r w:rsidRPr="00EE3440">
              <w:rPr>
                <w:rFonts w:ascii="Calibri" w:hAnsi="Calibri"/>
                <w:b/>
                <w:sz w:val="18"/>
                <w:szCs w:val="18"/>
                <w:lang w:val="en-GB"/>
              </w:rPr>
              <w:t>d</w:t>
            </w:r>
            <w:r>
              <w:rPr>
                <w:rFonts w:ascii="Calibri" w:hAnsi="Calibri"/>
                <w:b/>
                <w:sz w:val="18"/>
                <w:szCs w:val="18"/>
                <w:lang w:val="en-GB"/>
              </w:rPr>
              <w:t xml:space="preserve">uring puberty: &lt;5.22, F </w:t>
            </w:r>
            <w:r w:rsidRPr="00EE3440">
              <w:rPr>
                <w:rFonts w:ascii="Calibri" w:hAnsi="Calibri"/>
                <w:b/>
                <w:sz w:val="18"/>
                <w:szCs w:val="18"/>
                <w:lang w:val="en-GB"/>
              </w:rPr>
              <w:t>d</w:t>
            </w:r>
            <w:r>
              <w:rPr>
                <w:rFonts w:ascii="Calibri" w:hAnsi="Calibri"/>
                <w:b/>
                <w:sz w:val="18"/>
                <w:szCs w:val="18"/>
                <w:lang w:val="en-GB"/>
              </w:rPr>
              <w:t xml:space="preserve">uring puberty: &lt;3.82 or M/F: &lt;4.39 </w:t>
            </w:r>
            <w:r>
              <w:rPr>
                <w:rFonts w:ascii="Calibri" w:hAnsi="Calibri"/>
                <w:b/>
                <w:sz w:val="18"/>
                <w:szCs w:val="18"/>
                <w:vertAlign w:val="superscript"/>
                <w:lang w:val="en-GB"/>
              </w:rPr>
              <w:t>(55, 56)</w:t>
            </w:r>
          </w:p>
        </w:tc>
      </w:tr>
      <w:tr w:rsidR="00E80ADC" w:rsidRPr="00C851D8" w14:paraId="7EDBF4B9" w14:textId="77777777" w:rsidTr="0087586D">
        <w:trPr>
          <w:trHeight w:val="300"/>
        </w:trPr>
        <w:tc>
          <w:tcPr>
            <w:tcW w:w="3227" w:type="dxa"/>
            <w:vMerge w:val="restart"/>
            <w:shd w:val="clear" w:color="auto" w:fill="FFFFFF" w:themeFill="background1"/>
            <w:noWrap/>
            <w:hideMark/>
          </w:tcPr>
          <w:p w14:paraId="1C5EE6F0" w14:textId="1333009A" w:rsidR="00E80ADC" w:rsidRPr="00FD0654" w:rsidRDefault="00E80ADC" w:rsidP="00E64253">
            <w:pPr>
              <w:rPr>
                <w:b/>
                <w:sz w:val="18"/>
                <w:szCs w:val="18"/>
                <w:lang w:val="en-GB"/>
              </w:rPr>
            </w:pPr>
            <w:r w:rsidRPr="00FD0654">
              <w:rPr>
                <w:b/>
                <w:sz w:val="18"/>
                <w:szCs w:val="18"/>
                <w:lang w:val="en-GB"/>
              </w:rPr>
              <w:t>Thyroid Stimulating Hormone</w:t>
            </w:r>
            <w:r w:rsidR="007A7B24">
              <w:rPr>
                <w:b/>
                <w:sz w:val="18"/>
                <w:szCs w:val="18"/>
                <w:lang w:val="en-GB"/>
              </w:rPr>
              <w:t xml:space="preserve"> (mIU/L)</w:t>
            </w:r>
          </w:p>
          <w:p w14:paraId="7FCE46AC" w14:textId="77777777" w:rsidR="00E80ADC" w:rsidRPr="00C851D8" w:rsidRDefault="00E80ADC" w:rsidP="00E64253">
            <w:pPr>
              <w:rPr>
                <w:b/>
                <w:sz w:val="18"/>
                <w:szCs w:val="18"/>
                <w:lang w:val="en-GB"/>
              </w:rPr>
            </w:pPr>
            <w:r w:rsidRPr="00C851D8">
              <w:rPr>
                <w:sz w:val="16"/>
                <w:szCs w:val="16"/>
                <w:lang w:val="en-GB"/>
              </w:rPr>
              <w:t>Electro-chemoluminescence assay (Roche Diagnostics E170 Modular)</w:t>
            </w:r>
          </w:p>
        </w:tc>
        <w:tc>
          <w:tcPr>
            <w:tcW w:w="1044" w:type="dxa"/>
            <w:noWrap/>
            <w:vAlign w:val="bottom"/>
            <w:hideMark/>
          </w:tcPr>
          <w:p w14:paraId="277A2B3F" w14:textId="77777777" w:rsidR="00E80ADC" w:rsidRPr="00C851D8" w:rsidRDefault="00E80ADC" w:rsidP="00E64253">
            <w:pPr>
              <w:jc w:val="right"/>
              <w:rPr>
                <w:rFonts w:ascii="Calibri" w:hAnsi="Calibri"/>
                <w:sz w:val="18"/>
                <w:szCs w:val="18"/>
              </w:rPr>
            </w:pPr>
            <w:r w:rsidRPr="00C851D8">
              <w:rPr>
                <w:rFonts w:ascii="Calibri" w:hAnsi="Calibri"/>
                <w:sz w:val="18"/>
                <w:szCs w:val="18"/>
              </w:rPr>
              <w:t>2,07</w:t>
            </w:r>
          </w:p>
        </w:tc>
        <w:tc>
          <w:tcPr>
            <w:tcW w:w="1045" w:type="dxa"/>
            <w:noWrap/>
            <w:vAlign w:val="bottom"/>
            <w:hideMark/>
          </w:tcPr>
          <w:p w14:paraId="14D9E5FB" w14:textId="77777777" w:rsidR="00E80ADC" w:rsidRPr="00C851D8" w:rsidRDefault="00E80ADC" w:rsidP="00E64253">
            <w:pPr>
              <w:jc w:val="right"/>
              <w:rPr>
                <w:rFonts w:ascii="Calibri" w:hAnsi="Calibri"/>
                <w:sz w:val="18"/>
                <w:szCs w:val="18"/>
              </w:rPr>
            </w:pPr>
            <w:r w:rsidRPr="00C851D8">
              <w:rPr>
                <w:rFonts w:ascii="Calibri" w:hAnsi="Calibri"/>
                <w:sz w:val="18"/>
                <w:szCs w:val="18"/>
              </w:rPr>
              <w:t>2,06</w:t>
            </w:r>
          </w:p>
        </w:tc>
        <w:tc>
          <w:tcPr>
            <w:tcW w:w="1045" w:type="dxa"/>
            <w:noWrap/>
            <w:vAlign w:val="bottom"/>
            <w:hideMark/>
          </w:tcPr>
          <w:p w14:paraId="06589CB6"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0,757</w:t>
            </w:r>
          </w:p>
        </w:tc>
        <w:tc>
          <w:tcPr>
            <w:tcW w:w="1044" w:type="dxa"/>
            <w:noWrap/>
            <w:vAlign w:val="bottom"/>
            <w:hideMark/>
          </w:tcPr>
          <w:p w14:paraId="1080B362" w14:textId="77777777" w:rsidR="00E80ADC" w:rsidRPr="00C851D8" w:rsidRDefault="00E80ADC" w:rsidP="00E64253">
            <w:pPr>
              <w:jc w:val="right"/>
              <w:rPr>
                <w:rFonts w:ascii="Calibri" w:hAnsi="Calibri"/>
                <w:sz w:val="18"/>
                <w:szCs w:val="18"/>
              </w:rPr>
            </w:pPr>
            <w:r w:rsidRPr="00C851D8">
              <w:rPr>
                <w:rFonts w:ascii="Calibri" w:hAnsi="Calibri"/>
                <w:sz w:val="18"/>
                <w:szCs w:val="18"/>
              </w:rPr>
              <w:t>2,1</w:t>
            </w:r>
          </w:p>
        </w:tc>
        <w:tc>
          <w:tcPr>
            <w:tcW w:w="1045" w:type="dxa"/>
            <w:noWrap/>
            <w:vAlign w:val="bottom"/>
            <w:hideMark/>
          </w:tcPr>
          <w:p w14:paraId="346E7218"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0,257</w:t>
            </w:r>
          </w:p>
        </w:tc>
        <w:tc>
          <w:tcPr>
            <w:tcW w:w="1045" w:type="dxa"/>
            <w:noWrap/>
            <w:vAlign w:val="bottom"/>
            <w:hideMark/>
          </w:tcPr>
          <w:p w14:paraId="0C1BE51A" w14:textId="77777777" w:rsidR="00E80ADC" w:rsidRPr="00C851D8" w:rsidRDefault="00E80ADC" w:rsidP="00E64253">
            <w:pPr>
              <w:jc w:val="right"/>
              <w:rPr>
                <w:rFonts w:ascii="Calibri" w:hAnsi="Calibri"/>
                <w:sz w:val="18"/>
                <w:szCs w:val="18"/>
              </w:rPr>
            </w:pPr>
            <w:r w:rsidRPr="00C851D8">
              <w:rPr>
                <w:rFonts w:ascii="Calibri" w:hAnsi="Calibri"/>
                <w:sz w:val="18"/>
                <w:szCs w:val="18"/>
              </w:rPr>
              <w:t>2,25</w:t>
            </w:r>
          </w:p>
        </w:tc>
        <w:tc>
          <w:tcPr>
            <w:tcW w:w="1044" w:type="dxa"/>
            <w:noWrap/>
            <w:vAlign w:val="bottom"/>
            <w:hideMark/>
          </w:tcPr>
          <w:p w14:paraId="2530DCE1" w14:textId="77777777" w:rsidR="00E80ADC" w:rsidRPr="00C851D8" w:rsidRDefault="00E80ADC" w:rsidP="00E64253">
            <w:pPr>
              <w:jc w:val="right"/>
              <w:rPr>
                <w:rFonts w:ascii="Calibri" w:hAnsi="Calibri"/>
                <w:sz w:val="18"/>
                <w:szCs w:val="18"/>
              </w:rPr>
            </w:pPr>
            <w:r w:rsidRPr="00C851D8">
              <w:rPr>
                <w:rFonts w:ascii="Calibri" w:hAnsi="Calibri"/>
                <w:sz w:val="18"/>
                <w:szCs w:val="18"/>
              </w:rPr>
              <w:t>1,83</w:t>
            </w:r>
          </w:p>
        </w:tc>
        <w:tc>
          <w:tcPr>
            <w:tcW w:w="1193" w:type="dxa"/>
            <w:noWrap/>
            <w:vAlign w:val="bottom"/>
            <w:hideMark/>
          </w:tcPr>
          <w:p w14:paraId="5E9673AF"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0,013</w:t>
            </w:r>
          </w:p>
        </w:tc>
        <w:tc>
          <w:tcPr>
            <w:tcW w:w="992" w:type="dxa"/>
            <w:noWrap/>
            <w:vAlign w:val="bottom"/>
            <w:hideMark/>
          </w:tcPr>
          <w:p w14:paraId="4CE0F982" w14:textId="77777777" w:rsidR="00E80ADC" w:rsidRPr="00C851D8" w:rsidRDefault="00E80ADC" w:rsidP="00E64253">
            <w:pPr>
              <w:jc w:val="right"/>
              <w:rPr>
                <w:rFonts w:ascii="Calibri" w:hAnsi="Calibri"/>
                <w:sz w:val="18"/>
                <w:szCs w:val="18"/>
              </w:rPr>
            </w:pPr>
            <w:r w:rsidRPr="00C851D8">
              <w:rPr>
                <w:rFonts w:ascii="Calibri" w:hAnsi="Calibri"/>
                <w:sz w:val="18"/>
                <w:szCs w:val="18"/>
              </w:rPr>
              <w:t>2,22</w:t>
            </w:r>
          </w:p>
        </w:tc>
        <w:tc>
          <w:tcPr>
            <w:tcW w:w="1276" w:type="dxa"/>
            <w:noWrap/>
            <w:vAlign w:val="bottom"/>
            <w:hideMark/>
          </w:tcPr>
          <w:p w14:paraId="6DD0D082"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0,271</w:t>
            </w:r>
          </w:p>
        </w:tc>
      </w:tr>
      <w:tr w:rsidR="00E80ADC" w:rsidRPr="002A729A" w14:paraId="65C1572E" w14:textId="77777777" w:rsidTr="0087586D">
        <w:trPr>
          <w:trHeight w:val="300"/>
        </w:trPr>
        <w:tc>
          <w:tcPr>
            <w:tcW w:w="3227" w:type="dxa"/>
            <w:vMerge/>
            <w:shd w:val="clear" w:color="auto" w:fill="FFFFFF" w:themeFill="background1"/>
            <w:noWrap/>
            <w:hideMark/>
          </w:tcPr>
          <w:p w14:paraId="574853D1" w14:textId="77777777" w:rsidR="00E80ADC" w:rsidRPr="00C851D8" w:rsidRDefault="00E80ADC" w:rsidP="00E64253">
            <w:pPr>
              <w:rPr>
                <w:b/>
                <w:sz w:val="18"/>
                <w:szCs w:val="18"/>
              </w:rPr>
            </w:pPr>
          </w:p>
        </w:tc>
        <w:tc>
          <w:tcPr>
            <w:tcW w:w="10773" w:type="dxa"/>
            <w:gridSpan w:val="10"/>
            <w:noWrap/>
            <w:vAlign w:val="bottom"/>
            <w:hideMark/>
          </w:tcPr>
          <w:p w14:paraId="0CC46773" w14:textId="77777777" w:rsidR="00E80ADC" w:rsidRPr="00C851D8" w:rsidRDefault="00E80ADC" w:rsidP="00E64253">
            <w:pPr>
              <w:jc w:val="center"/>
              <w:rPr>
                <w:rFonts w:ascii="Calibri" w:hAnsi="Calibri"/>
                <w:b/>
                <w:sz w:val="18"/>
                <w:szCs w:val="18"/>
                <w:lang w:val="en-GB"/>
              </w:rPr>
            </w:pPr>
            <w:r w:rsidRPr="00C851D8">
              <w:rPr>
                <w:rFonts w:ascii="Calibri" w:hAnsi="Calibri"/>
                <w:b/>
                <w:sz w:val="18"/>
                <w:szCs w:val="18"/>
                <w:lang w:val="en-GB"/>
              </w:rPr>
              <w:t>Reference (mIU/L): M/F 11-20y: 0,51-4,3</w:t>
            </w:r>
          </w:p>
        </w:tc>
      </w:tr>
      <w:tr w:rsidR="00E80ADC" w:rsidRPr="00C851D8" w14:paraId="09F80779" w14:textId="77777777" w:rsidTr="0087586D">
        <w:trPr>
          <w:trHeight w:val="300"/>
        </w:trPr>
        <w:tc>
          <w:tcPr>
            <w:tcW w:w="3227" w:type="dxa"/>
            <w:vMerge w:val="restart"/>
            <w:shd w:val="clear" w:color="auto" w:fill="FFFFFF" w:themeFill="background1"/>
            <w:noWrap/>
            <w:hideMark/>
          </w:tcPr>
          <w:p w14:paraId="453A6696" w14:textId="252D00F8" w:rsidR="00E80ADC" w:rsidRPr="00FD0654" w:rsidRDefault="00E80ADC" w:rsidP="00E64253">
            <w:pPr>
              <w:rPr>
                <w:b/>
                <w:sz w:val="18"/>
                <w:szCs w:val="18"/>
                <w:lang w:val="en-GB"/>
              </w:rPr>
            </w:pPr>
            <w:r w:rsidRPr="00FD0654">
              <w:rPr>
                <w:b/>
                <w:sz w:val="18"/>
                <w:szCs w:val="18"/>
                <w:lang w:val="en-GB"/>
              </w:rPr>
              <w:t>Free Thyroxin</w:t>
            </w:r>
            <w:r w:rsidR="007A7B24">
              <w:rPr>
                <w:b/>
                <w:sz w:val="18"/>
                <w:szCs w:val="18"/>
                <w:lang w:val="en-GB"/>
              </w:rPr>
              <w:t xml:space="preserve"> (pmol/L)</w:t>
            </w:r>
          </w:p>
          <w:p w14:paraId="6C7E7164" w14:textId="77777777" w:rsidR="00E80ADC" w:rsidRPr="00C851D8" w:rsidRDefault="00E80ADC" w:rsidP="00E64253">
            <w:pPr>
              <w:rPr>
                <w:b/>
                <w:sz w:val="18"/>
                <w:szCs w:val="18"/>
                <w:lang w:val="en-GB"/>
              </w:rPr>
            </w:pPr>
            <w:r w:rsidRPr="00C851D8">
              <w:rPr>
                <w:sz w:val="16"/>
                <w:szCs w:val="16"/>
                <w:lang w:val="en-GB"/>
              </w:rPr>
              <w:t>Electro-chemoluminescence assay (Roche Diagnostics E170 Modular)</w:t>
            </w:r>
          </w:p>
        </w:tc>
        <w:tc>
          <w:tcPr>
            <w:tcW w:w="1044" w:type="dxa"/>
            <w:noWrap/>
            <w:vAlign w:val="bottom"/>
            <w:hideMark/>
          </w:tcPr>
          <w:p w14:paraId="49D0EE8E" w14:textId="77777777" w:rsidR="00E80ADC" w:rsidRPr="00C851D8" w:rsidRDefault="00E80ADC" w:rsidP="00E64253">
            <w:pPr>
              <w:jc w:val="right"/>
              <w:rPr>
                <w:rFonts w:ascii="Calibri" w:hAnsi="Calibri"/>
                <w:sz w:val="18"/>
                <w:szCs w:val="18"/>
              </w:rPr>
            </w:pPr>
            <w:r w:rsidRPr="00C851D8">
              <w:rPr>
                <w:rFonts w:ascii="Calibri" w:hAnsi="Calibri"/>
                <w:sz w:val="18"/>
                <w:szCs w:val="18"/>
              </w:rPr>
              <w:t>15,959</w:t>
            </w:r>
          </w:p>
        </w:tc>
        <w:tc>
          <w:tcPr>
            <w:tcW w:w="1045" w:type="dxa"/>
            <w:noWrap/>
            <w:vAlign w:val="bottom"/>
            <w:hideMark/>
          </w:tcPr>
          <w:p w14:paraId="6F5CA6B5" w14:textId="77777777" w:rsidR="00E80ADC" w:rsidRPr="00C851D8" w:rsidRDefault="00E80ADC" w:rsidP="00E64253">
            <w:pPr>
              <w:jc w:val="right"/>
              <w:rPr>
                <w:rFonts w:ascii="Calibri" w:hAnsi="Calibri"/>
                <w:sz w:val="18"/>
                <w:szCs w:val="18"/>
              </w:rPr>
            </w:pPr>
            <w:r w:rsidRPr="00C851D8">
              <w:rPr>
                <w:rFonts w:ascii="Calibri" w:hAnsi="Calibri"/>
                <w:sz w:val="18"/>
                <w:szCs w:val="18"/>
              </w:rPr>
              <w:t>17,375</w:t>
            </w:r>
          </w:p>
        </w:tc>
        <w:tc>
          <w:tcPr>
            <w:tcW w:w="1045" w:type="dxa"/>
            <w:noWrap/>
            <w:vAlign w:val="bottom"/>
            <w:hideMark/>
          </w:tcPr>
          <w:p w14:paraId="507467E3"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0,006</w:t>
            </w:r>
          </w:p>
        </w:tc>
        <w:tc>
          <w:tcPr>
            <w:tcW w:w="1044" w:type="dxa"/>
            <w:noWrap/>
            <w:vAlign w:val="bottom"/>
            <w:hideMark/>
          </w:tcPr>
          <w:p w14:paraId="1CC24C4E" w14:textId="77777777" w:rsidR="00E80ADC" w:rsidRPr="00C851D8" w:rsidRDefault="00E80ADC" w:rsidP="00E64253">
            <w:pPr>
              <w:jc w:val="right"/>
              <w:rPr>
                <w:rFonts w:ascii="Calibri" w:hAnsi="Calibri"/>
                <w:sz w:val="18"/>
                <w:szCs w:val="18"/>
              </w:rPr>
            </w:pPr>
            <w:r w:rsidRPr="00C851D8">
              <w:rPr>
                <w:rFonts w:ascii="Calibri" w:hAnsi="Calibri"/>
                <w:sz w:val="18"/>
                <w:szCs w:val="18"/>
              </w:rPr>
              <w:t>19,820</w:t>
            </w:r>
          </w:p>
        </w:tc>
        <w:tc>
          <w:tcPr>
            <w:tcW w:w="1045" w:type="dxa"/>
            <w:noWrap/>
            <w:vAlign w:val="bottom"/>
            <w:hideMark/>
          </w:tcPr>
          <w:p w14:paraId="64F601D5"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&lt;0,001</w:t>
            </w:r>
          </w:p>
        </w:tc>
        <w:tc>
          <w:tcPr>
            <w:tcW w:w="1045" w:type="dxa"/>
            <w:noWrap/>
            <w:vAlign w:val="bottom"/>
            <w:hideMark/>
          </w:tcPr>
          <w:p w14:paraId="4CB13CBE" w14:textId="77777777" w:rsidR="00E80ADC" w:rsidRPr="00C851D8" w:rsidRDefault="00E80ADC" w:rsidP="00E64253">
            <w:pPr>
              <w:jc w:val="right"/>
              <w:rPr>
                <w:rFonts w:ascii="Calibri" w:hAnsi="Calibri"/>
                <w:sz w:val="18"/>
                <w:szCs w:val="18"/>
              </w:rPr>
            </w:pPr>
            <w:r w:rsidRPr="00C851D8">
              <w:rPr>
                <w:rFonts w:ascii="Calibri" w:hAnsi="Calibri"/>
                <w:sz w:val="18"/>
                <w:szCs w:val="18"/>
              </w:rPr>
              <w:t>18,275</w:t>
            </w:r>
          </w:p>
        </w:tc>
        <w:tc>
          <w:tcPr>
            <w:tcW w:w="1044" w:type="dxa"/>
            <w:noWrap/>
            <w:vAlign w:val="bottom"/>
            <w:hideMark/>
          </w:tcPr>
          <w:p w14:paraId="4674223C" w14:textId="77777777" w:rsidR="00E80ADC" w:rsidRPr="00C851D8" w:rsidRDefault="00E80ADC" w:rsidP="00E64253">
            <w:pPr>
              <w:jc w:val="right"/>
              <w:rPr>
                <w:rFonts w:ascii="Calibri" w:hAnsi="Calibri"/>
                <w:sz w:val="18"/>
                <w:szCs w:val="18"/>
              </w:rPr>
            </w:pPr>
            <w:r w:rsidRPr="00C851D8">
              <w:rPr>
                <w:rFonts w:ascii="Calibri" w:hAnsi="Calibri"/>
                <w:sz w:val="18"/>
                <w:szCs w:val="18"/>
              </w:rPr>
              <w:t>16,216</w:t>
            </w:r>
          </w:p>
        </w:tc>
        <w:tc>
          <w:tcPr>
            <w:tcW w:w="1193" w:type="dxa"/>
            <w:noWrap/>
            <w:vAlign w:val="bottom"/>
            <w:hideMark/>
          </w:tcPr>
          <w:p w14:paraId="70523022"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0,001</w:t>
            </w:r>
          </w:p>
        </w:tc>
        <w:tc>
          <w:tcPr>
            <w:tcW w:w="992" w:type="dxa"/>
            <w:noWrap/>
            <w:vAlign w:val="bottom"/>
            <w:hideMark/>
          </w:tcPr>
          <w:p w14:paraId="1C0D8E7A" w14:textId="77777777" w:rsidR="00E80ADC" w:rsidRPr="00C851D8" w:rsidRDefault="00E80ADC" w:rsidP="00E64253">
            <w:pPr>
              <w:jc w:val="right"/>
              <w:rPr>
                <w:rFonts w:ascii="Calibri" w:hAnsi="Calibri"/>
                <w:sz w:val="18"/>
                <w:szCs w:val="18"/>
              </w:rPr>
            </w:pPr>
            <w:r w:rsidRPr="00C851D8">
              <w:rPr>
                <w:rFonts w:ascii="Calibri" w:hAnsi="Calibri"/>
                <w:sz w:val="18"/>
                <w:szCs w:val="18"/>
              </w:rPr>
              <w:t>14,543</w:t>
            </w:r>
          </w:p>
        </w:tc>
        <w:tc>
          <w:tcPr>
            <w:tcW w:w="1276" w:type="dxa"/>
            <w:noWrap/>
            <w:vAlign w:val="bottom"/>
            <w:hideMark/>
          </w:tcPr>
          <w:p w14:paraId="4F1F9731"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0,003</w:t>
            </w:r>
          </w:p>
        </w:tc>
      </w:tr>
      <w:tr w:rsidR="00E80ADC" w:rsidRPr="002A729A" w14:paraId="097FFCD1" w14:textId="77777777" w:rsidTr="0087586D">
        <w:trPr>
          <w:trHeight w:val="300"/>
        </w:trPr>
        <w:tc>
          <w:tcPr>
            <w:tcW w:w="3227" w:type="dxa"/>
            <w:vMerge/>
            <w:shd w:val="clear" w:color="auto" w:fill="FFFFFF" w:themeFill="background1"/>
            <w:noWrap/>
            <w:hideMark/>
          </w:tcPr>
          <w:p w14:paraId="0B436A2D" w14:textId="77777777" w:rsidR="00E80ADC" w:rsidRPr="00C851D8" w:rsidRDefault="00E80ADC" w:rsidP="00E64253">
            <w:pPr>
              <w:rPr>
                <w:b/>
                <w:sz w:val="18"/>
                <w:szCs w:val="18"/>
              </w:rPr>
            </w:pPr>
          </w:p>
        </w:tc>
        <w:tc>
          <w:tcPr>
            <w:tcW w:w="10773" w:type="dxa"/>
            <w:gridSpan w:val="10"/>
            <w:noWrap/>
            <w:vAlign w:val="bottom"/>
            <w:hideMark/>
          </w:tcPr>
          <w:p w14:paraId="344D032F" w14:textId="77777777" w:rsidR="00E80ADC" w:rsidRPr="00C851D8" w:rsidRDefault="00E80ADC" w:rsidP="00E64253">
            <w:pPr>
              <w:jc w:val="center"/>
              <w:rPr>
                <w:rFonts w:ascii="Calibri" w:hAnsi="Calibri"/>
                <w:b/>
                <w:sz w:val="18"/>
                <w:szCs w:val="18"/>
                <w:lang w:val="en-GB"/>
              </w:rPr>
            </w:pPr>
            <w:r w:rsidRPr="00C851D8">
              <w:rPr>
                <w:rFonts w:ascii="Calibri" w:hAnsi="Calibri"/>
                <w:b/>
                <w:sz w:val="18"/>
                <w:szCs w:val="18"/>
                <w:lang w:val="en-GB"/>
              </w:rPr>
              <w:t>Reference (pmol/L): M/F 12-20 y: 12.613-20.978</w:t>
            </w:r>
          </w:p>
        </w:tc>
      </w:tr>
      <w:tr w:rsidR="00E80ADC" w:rsidRPr="00C851D8" w14:paraId="0E7F4A48" w14:textId="77777777" w:rsidTr="0087586D">
        <w:trPr>
          <w:trHeight w:val="300"/>
        </w:trPr>
        <w:tc>
          <w:tcPr>
            <w:tcW w:w="3227" w:type="dxa"/>
            <w:vMerge w:val="restart"/>
            <w:shd w:val="clear" w:color="auto" w:fill="FFFFFF" w:themeFill="background1"/>
            <w:noWrap/>
            <w:hideMark/>
          </w:tcPr>
          <w:p w14:paraId="0E129022" w14:textId="78910874" w:rsidR="00E80ADC" w:rsidRPr="00FD0654" w:rsidRDefault="00E80ADC" w:rsidP="00E64253">
            <w:pPr>
              <w:rPr>
                <w:b/>
                <w:sz w:val="18"/>
                <w:szCs w:val="18"/>
                <w:lang w:val="en-GB"/>
              </w:rPr>
            </w:pPr>
            <w:r w:rsidRPr="00FD0654">
              <w:rPr>
                <w:b/>
                <w:sz w:val="18"/>
                <w:szCs w:val="18"/>
                <w:lang w:val="en-GB"/>
              </w:rPr>
              <w:lastRenderedPageBreak/>
              <w:t>Lutheinizing Hormone</w:t>
            </w:r>
            <w:r w:rsidR="007A7B24">
              <w:rPr>
                <w:b/>
                <w:sz w:val="18"/>
                <w:szCs w:val="18"/>
                <w:lang w:val="en-GB"/>
              </w:rPr>
              <w:t xml:space="preserve"> (IU/L)</w:t>
            </w:r>
          </w:p>
          <w:p w14:paraId="79301049" w14:textId="77777777" w:rsidR="00E80ADC" w:rsidRPr="00C851D8" w:rsidRDefault="00E80ADC" w:rsidP="00E64253">
            <w:pPr>
              <w:rPr>
                <w:sz w:val="16"/>
                <w:szCs w:val="16"/>
                <w:lang w:val="en-GB"/>
              </w:rPr>
            </w:pPr>
            <w:r w:rsidRPr="00C851D8">
              <w:rPr>
                <w:sz w:val="16"/>
                <w:szCs w:val="16"/>
                <w:lang w:val="en-GB"/>
              </w:rPr>
              <w:t>Electro-chemoluminescence assay (Roche Diagnostics E170 Modular)</w:t>
            </w:r>
          </w:p>
        </w:tc>
        <w:tc>
          <w:tcPr>
            <w:tcW w:w="1044" w:type="dxa"/>
            <w:noWrap/>
            <w:vAlign w:val="bottom"/>
            <w:hideMark/>
          </w:tcPr>
          <w:p w14:paraId="43EDB99B" w14:textId="77777777" w:rsidR="00E80ADC" w:rsidRPr="00C851D8" w:rsidRDefault="00E80ADC" w:rsidP="00E64253">
            <w:pPr>
              <w:jc w:val="right"/>
              <w:rPr>
                <w:rFonts w:ascii="Calibri" w:hAnsi="Calibri"/>
                <w:sz w:val="18"/>
                <w:szCs w:val="18"/>
              </w:rPr>
            </w:pPr>
            <w:r w:rsidRPr="00C851D8">
              <w:rPr>
                <w:rFonts w:ascii="Calibri" w:hAnsi="Calibri"/>
                <w:sz w:val="18"/>
                <w:szCs w:val="18"/>
              </w:rPr>
              <w:t>7,56</w:t>
            </w:r>
          </w:p>
        </w:tc>
        <w:tc>
          <w:tcPr>
            <w:tcW w:w="1045" w:type="dxa"/>
            <w:noWrap/>
            <w:vAlign w:val="bottom"/>
            <w:hideMark/>
          </w:tcPr>
          <w:p w14:paraId="11F6372B" w14:textId="77777777" w:rsidR="00E80ADC" w:rsidRPr="00C851D8" w:rsidRDefault="00E80ADC" w:rsidP="00E64253">
            <w:pPr>
              <w:jc w:val="right"/>
              <w:rPr>
                <w:rFonts w:ascii="Calibri" w:hAnsi="Calibri"/>
                <w:sz w:val="18"/>
                <w:szCs w:val="18"/>
              </w:rPr>
            </w:pPr>
            <w:r w:rsidRPr="00C851D8">
              <w:rPr>
                <w:rFonts w:ascii="Calibri" w:hAnsi="Calibri"/>
                <w:sz w:val="18"/>
                <w:szCs w:val="18"/>
              </w:rPr>
              <w:t>4,63</w:t>
            </w:r>
          </w:p>
        </w:tc>
        <w:tc>
          <w:tcPr>
            <w:tcW w:w="1045" w:type="dxa"/>
            <w:noWrap/>
            <w:vAlign w:val="bottom"/>
            <w:hideMark/>
          </w:tcPr>
          <w:p w14:paraId="2DAF2784"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0,065</w:t>
            </w:r>
          </w:p>
        </w:tc>
        <w:tc>
          <w:tcPr>
            <w:tcW w:w="1044" w:type="dxa"/>
            <w:noWrap/>
            <w:vAlign w:val="bottom"/>
            <w:hideMark/>
          </w:tcPr>
          <w:p w14:paraId="338BC3F4" w14:textId="77777777" w:rsidR="00E80ADC" w:rsidRPr="00C851D8" w:rsidRDefault="00E80ADC" w:rsidP="00E64253">
            <w:pPr>
              <w:jc w:val="right"/>
              <w:rPr>
                <w:rFonts w:ascii="Calibri" w:hAnsi="Calibri"/>
                <w:sz w:val="18"/>
                <w:szCs w:val="18"/>
              </w:rPr>
            </w:pPr>
            <w:r w:rsidRPr="00C851D8">
              <w:rPr>
                <w:rFonts w:ascii="Calibri" w:hAnsi="Calibri"/>
                <w:sz w:val="18"/>
                <w:szCs w:val="18"/>
              </w:rPr>
              <w:t>2,58</w:t>
            </w:r>
          </w:p>
        </w:tc>
        <w:tc>
          <w:tcPr>
            <w:tcW w:w="1045" w:type="dxa"/>
            <w:noWrap/>
            <w:vAlign w:val="bottom"/>
            <w:hideMark/>
          </w:tcPr>
          <w:p w14:paraId="13E928AE"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0,042</w:t>
            </w:r>
          </w:p>
        </w:tc>
        <w:tc>
          <w:tcPr>
            <w:tcW w:w="1045" w:type="dxa"/>
            <w:noWrap/>
            <w:vAlign w:val="bottom"/>
            <w:hideMark/>
          </w:tcPr>
          <w:p w14:paraId="72CA6829" w14:textId="77777777" w:rsidR="00E80ADC" w:rsidRPr="00C851D8" w:rsidRDefault="00E80ADC" w:rsidP="00E64253">
            <w:pPr>
              <w:jc w:val="right"/>
              <w:rPr>
                <w:rFonts w:ascii="Calibri" w:hAnsi="Calibri"/>
                <w:sz w:val="18"/>
                <w:szCs w:val="18"/>
              </w:rPr>
            </w:pPr>
            <w:r w:rsidRPr="00C851D8">
              <w:rPr>
                <w:rFonts w:ascii="Calibri" w:hAnsi="Calibri"/>
                <w:sz w:val="18"/>
                <w:szCs w:val="18"/>
              </w:rPr>
              <w:t>3,41</w:t>
            </w:r>
          </w:p>
        </w:tc>
        <w:tc>
          <w:tcPr>
            <w:tcW w:w="1044" w:type="dxa"/>
            <w:noWrap/>
            <w:vAlign w:val="bottom"/>
            <w:hideMark/>
          </w:tcPr>
          <w:p w14:paraId="5A0ADBA3" w14:textId="77777777" w:rsidR="00E80ADC" w:rsidRPr="00C851D8" w:rsidRDefault="00E80ADC" w:rsidP="00E64253">
            <w:pPr>
              <w:jc w:val="right"/>
              <w:rPr>
                <w:rFonts w:ascii="Calibri" w:hAnsi="Calibri"/>
                <w:sz w:val="18"/>
                <w:szCs w:val="18"/>
              </w:rPr>
            </w:pPr>
            <w:r w:rsidRPr="00C851D8">
              <w:rPr>
                <w:rFonts w:ascii="Calibri" w:hAnsi="Calibri"/>
                <w:sz w:val="18"/>
                <w:szCs w:val="18"/>
              </w:rPr>
              <w:t>1,93</w:t>
            </w:r>
          </w:p>
        </w:tc>
        <w:tc>
          <w:tcPr>
            <w:tcW w:w="1193" w:type="dxa"/>
            <w:noWrap/>
            <w:vAlign w:val="bottom"/>
            <w:hideMark/>
          </w:tcPr>
          <w:p w14:paraId="6D98E809"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0,004</w:t>
            </w:r>
          </w:p>
        </w:tc>
        <w:tc>
          <w:tcPr>
            <w:tcW w:w="992" w:type="dxa"/>
            <w:noWrap/>
            <w:vAlign w:val="bottom"/>
            <w:hideMark/>
          </w:tcPr>
          <w:p w14:paraId="1E0A89B9" w14:textId="77777777" w:rsidR="00E80ADC" w:rsidRPr="00C851D8" w:rsidRDefault="00E80ADC" w:rsidP="00E64253">
            <w:pPr>
              <w:jc w:val="right"/>
              <w:rPr>
                <w:rFonts w:ascii="Calibri" w:hAnsi="Calibri"/>
                <w:sz w:val="18"/>
                <w:szCs w:val="18"/>
              </w:rPr>
            </w:pPr>
            <w:r w:rsidRPr="00C851D8">
              <w:rPr>
                <w:rFonts w:ascii="Calibri" w:hAnsi="Calibri"/>
                <w:sz w:val="18"/>
                <w:szCs w:val="18"/>
              </w:rPr>
              <w:t>1,68</w:t>
            </w:r>
          </w:p>
        </w:tc>
        <w:tc>
          <w:tcPr>
            <w:tcW w:w="1276" w:type="dxa"/>
            <w:noWrap/>
            <w:vAlign w:val="bottom"/>
            <w:hideMark/>
          </w:tcPr>
          <w:p w14:paraId="155239C7"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0,028</w:t>
            </w:r>
          </w:p>
        </w:tc>
      </w:tr>
      <w:tr w:rsidR="00E80ADC" w:rsidRPr="00C851D8" w14:paraId="5BA7236B" w14:textId="77777777" w:rsidTr="0087586D">
        <w:trPr>
          <w:trHeight w:val="300"/>
        </w:trPr>
        <w:tc>
          <w:tcPr>
            <w:tcW w:w="3227" w:type="dxa"/>
            <w:vMerge/>
            <w:shd w:val="clear" w:color="auto" w:fill="FFFFFF" w:themeFill="background1"/>
            <w:noWrap/>
            <w:hideMark/>
          </w:tcPr>
          <w:p w14:paraId="44516E78" w14:textId="77777777" w:rsidR="00E80ADC" w:rsidRPr="00C851D8" w:rsidRDefault="00E80ADC" w:rsidP="00E64253">
            <w:pPr>
              <w:rPr>
                <w:b/>
                <w:sz w:val="18"/>
                <w:szCs w:val="18"/>
              </w:rPr>
            </w:pPr>
          </w:p>
        </w:tc>
        <w:tc>
          <w:tcPr>
            <w:tcW w:w="10773" w:type="dxa"/>
            <w:gridSpan w:val="10"/>
            <w:noWrap/>
            <w:vAlign w:val="bottom"/>
            <w:hideMark/>
          </w:tcPr>
          <w:p w14:paraId="0307C1EC" w14:textId="77777777" w:rsidR="00E80ADC" w:rsidRPr="00C851D8" w:rsidRDefault="00E80ADC" w:rsidP="00E64253">
            <w:pPr>
              <w:jc w:val="center"/>
              <w:rPr>
                <w:rFonts w:ascii="Calibri" w:hAnsi="Calibri"/>
                <w:b/>
                <w:sz w:val="18"/>
                <w:szCs w:val="18"/>
              </w:rPr>
            </w:pPr>
            <w:r w:rsidRPr="00C851D8">
              <w:rPr>
                <w:rFonts w:ascii="Calibri" w:hAnsi="Calibri"/>
                <w:b/>
                <w:sz w:val="18"/>
                <w:szCs w:val="18"/>
              </w:rPr>
              <w:t>Reference (IU/L): M</w:t>
            </w:r>
            <w:r>
              <w:rPr>
                <w:rFonts w:ascii="Calibri" w:hAnsi="Calibri"/>
                <w:b/>
                <w:sz w:val="18"/>
                <w:szCs w:val="18"/>
              </w:rPr>
              <w:t>:</w:t>
            </w:r>
            <w:r w:rsidRPr="00C851D8">
              <w:rPr>
                <w:rFonts w:ascii="Calibri" w:hAnsi="Calibri"/>
                <w:b/>
                <w:sz w:val="18"/>
                <w:szCs w:val="18"/>
              </w:rPr>
              <w:t xml:space="preserve"> 1-9 U/L</w:t>
            </w:r>
            <w:r>
              <w:rPr>
                <w:rFonts w:ascii="Calibri" w:hAnsi="Calibri"/>
                <w:b/>
                <w:sz w:val="18"/>
                <w:szCs w:val="18"/>
              </w:rPr>
              <w:t>,</w:t>
            </w:r>
            <w:r w:rsidRPr="00C851D8">
              <w:rPr>
                <w:rFonts w:ascii="Calibri" w:hAnsi="Calibri"/>
                <w:b/>
                <w:sz w:val="18"/>
                <w:szCs w:val="18"/>
              </w:rPr>
              <w:t xml:space="preserve"> F</w:t>
            </w:r>
            <w:r>
              <w:rPr>
                <w:rFonts w:ascii="Calibri" w:hAnsi="Calibri"/>
                <w:b/>
                <w:sz w:val="18"/>
                <w:szCs w:val="18"/>
              </w:rPr>
              <w:t>:</w:t>
            </w:r>
            <w:r w:rsidRPr="00C851D8">
              <w:rPr>
                <w:rFonts w:ascii="Calibri" w:hAnsi="Calibri"/>
                <w:b/>
                <w:sz w:val="18"/>
                <w:szCs w:val="18"/>
              </w:rPr>
              <w:t xml:space="preserve"> 1-96U/L (cycle dependant)</w:t>
            </w:r>
          </w:p>
        </w:tc>
      </w:tr>
      <w:tr w:rsidR="00E80ADC" w:rsidRPr="00C851D8" w14:paraId="5A19E6EA" w14:textId="77777777" w:rsidTr="0087586D">
        <w:trPr>
          <w:trHeight w:val="300"/>
        </w:trPr>
        <w:tc>
          <w:tcPr>
            <w:tcW w:w="3227" w:type="dxa"/>
            <w:vMerge w:val="restart"/>
            <w:shd w:val="clear" w:color="auto" w:fill="FFFFFF" w:themeFill="background1"/>
            <w:noWrap/>
            <w:hideMark/>
          </w:tcPr>
          <w:p w14:paraId="3606B1EA" w14:textId="27E1B11B" w:rsidR="00E80ADC" w:rsidRPr="00FD0654" w:rsidRDefault="00E80ADC" w:rsidP="00E64253">
            <w:pPr>
              <w:rPr>
                <w:b/>
                <w:sz w:val="18"/>
                <w:szCs w:val="18"/>
                <w:lang w:val="en-GB"/>
              </w:rPr>
            </w:pPr>
            <w:r w:rsidRPr="00FD0654">
              <w:rPr>
                <w:b/>
                <w:sz w:val="18"/>
                <w:szCs w:val="18"/>
                <w:lang w:val="en-GB"/>
              </w:rPr>
              <w:t>Follicular Stimulating Hormone</w:t>
            </w:r>
            <w:r w:rsidR="007A7B24">
              <w:rPr>
                <w:b/>
                <w:sz w:val="18"/>
                <w:szCs w:val="18"/>
                <w:lang w:val="en-GB"/>
              </w:rPr>
              <w:t xml:space="preserve"> (IU/L)</w:t>
            </w:r>
          </w:p>
          <w:p w14:paraId="39E43A05" w14:textId="77777777" w:rsidR="00E80ADC" w:rsidRPr="00C851D8" w:rsidRDefault="00E80ADC" w:rsidP="00E64253">
            <w:pPr>
              <w:rPr>
                <w:sz w:val="16"/>
                <w:szCs w:val="16"/>
                <w:lang w:val="en-GB"/>
              </w:rPr>
            </w:pPr>
            <w:r w:rsidRPr="00C851D8">
              <w:rPr>
                <w:sz w:val="16"/>
                <w:szCs w:val="16"/>
                <w:lang w:val="en-GB"/>
              </w:rPr>
              <w:t>Electro-chemoluminescence assay (Roche Diagnostics E170 Modular)</w:t>
            </w:r>
          </w:p>
        </w:tc>
        <w:tc>
          <w:tcPr>
            <w:tcW w:w="1044" w:type="dxa"/>
            <w:noWrap/>
            <w:vAlign w:val="bottom"/>
            <w:hideMark/>
          </w:tcPr>
          <w:p w14:paraId="0392ADC2" w14:textId="77777777" w:rsidR="00E80ADC" w:rsidRPr="00C851D8" w:rsidRDefault="00E80ADC" w:rsidP="00E64253">
            <w:pPr>
              <w:jc w:val="right"/>
              <w:rPr>
                <w:rFonts w:ascii="Calibri" w:hAnsi="Calibri"/>
                <w:sz w:val="18"/>
                <w:szCs w:val="18"/>
              </w:rPr>
            </w:pPr>
            <w:r w:rsidRPr="00C851D8">
              <w:rPr>
                <w:rFonts w:ascii="Calibri" w:hAnsi="Calibri"/>
                <w:sz w:val="18"/>
                <w:szCs w:val="18"/>
              </w:rPr>
              <w:t>5,15</w:t>
            </w:r>
          </w:p>
        </w:tc>
        <w:tc>
          <w:tcPr>
            <w:tcW w:w="1045" w:type="dxa"/>
            <w:noWrap/>
            <w:vAlign w:val="bottom"/>
            <w:hideMark/>
          </w:tcPr>
          <w:p w14:paraId="2D209A15" w14:textId="77777777" w:rsidR="00E80ADC" w:rsidRPr="00C851D8" w:rsidRDefault="00E80ADC" w:rsidP="00E64253">
            <w:pPr>
              <w:jc w:val="right"/>
              <w:rPr>
                <w:rFonts w:ascii="Calibri" w:hAnsi="Calibri"/>
                <w:sz w:val="18"/>
                <w:szCs w:val="18"/>
              </w:rPr>
            </w:pPr>
            <w:r w:rsidRPr="00C851D8">
              <w:rPr>
                <w:rFonts w:ascii="Calibri" w:hAnsi="Calibri"/>
                <w:sz w:val="18"/>
                <w:szCs w:val="18"/>
              </w:rPr>
              <w:t>5,18</w:t>
            </w:r>
          </w:p>
        </w:tc>
        <w:tc>
          <w:tcPr>
            <w:tcW w:w="1045" w:type="dxa"/>
            <w:noWrap/>
            <w:vAlign w:val="bottom"/>
            <w:hideMark/>
          </w:tcPr>
          <w:p w14:paraId="56C3F0B8"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0,785</w:t>
            </w:r>
          </w:p>
        </w:tc>
        <w:tc>
          <w:tcPr>
            <w:tcW w:w="1044" w:type="dxa"/>
            <w:noWrap/>
            <w:vAlign w:val="bottom"/>
            <w:hideMark/>
          </w:tcPr>
          <w:p w14:paraId="35F69B8F" w14:textId="77777777" w:rsidR="00E80ADC" w:rsidRPr="00C851D8" w:rsidRDefault="00E80ADC" w:rsidP="00E64253">
            <w:pPr>
              <w:jc w:val="right"/>
              <w:rPr>
                <w:rFonts w:ascii="Calibri" w:hAnsi="Calibri"/>
                <w:sz w:val="18"/>
                <w:szCs w:val="18"/>
              </w:rPr>
            </w:pPr>
            <w:r w:rsidRPr="00C851D8">
              <w:rPr>
                <w:rFonts w:ascii="Calibri" w:hAnsi="Calibri"/>
                <w:sz w:val="18"/>
                <w:szCs w:val="18"/>
              </w:rPr>
              <w:t>4,36</w:t>
            </w:r>
          </w:p>
        </w:tc>
        <w:tc>
          <w:tcPr>
            <w:tcW w:w="1045" w:type="dxa"/>
            <w:noWrap/>
            <w:vAlign w:val="bottom"/>
            <w:hideMark/>
          </w:tcPr>
          <w:p w14:paraId="50BA992F"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0,623</w:t>
            </w:r>
          </w:p>
        </w:tc>
        <w:tc>
          <w:tcPr>
            <w:tcW w:w="1045" w:type="dxa"/>
            <w:noWrap/>
            <w:vAlign w:val="bottom"/>
            <w:hideMark/>
          </w:tcPr>
          <w:p w14:paraId="219390EB" w14:textId="77777777" w:rsidR="00E80ADC" w:rsidRPr="00C851D8" w:rsidRDefault="00E80ADC" w:rsidP="00E64253">
            <w:pPr>
              <w:jc w:val="right"/>
              <w:rPr>
                <w:rFonts w:ascii="Calibri" w:hAnsi="Calibri"/>
                <w:sz w:val="18"/>
                <w:szCs w:val="18"/>
              </w:rPr>
            </w:pPr>
            <w:r w:rsidRPr="00C851D8">
              <w:rPr>
                <w:rFonts w:ascii="Calibri" w:hAnsi="Calibri"/>
                <w:sz w:val="18"/>
                <w:szCs w:val="18"/>
              </w:rPr>
              <w:t>4,96</w:t>
            </w:r>
          </w:p>
        </w:tc>
        <w:tc>
          <w:tcPr>
            <w:tcW w:w="1044" w:type="dxa"/>
            <w:noWrap/>
            <w:vAlign w:val="bottom"/>
            <w:hideMark/>
          </w:tcPr>
          <w:p w14:paraId="352B4FFA" w14:textId="77777777" w:rsidR="00E80ADC" w:rsidRPr="00C851D8" w:rsidRDefault="00E80ADC" w:rsidP="00E64253">
            <w:pPr>
              <w:jc w:val="right"/>
              <w:rPr>
                <w:rFonts w:ascii="Calibri" w:hAnsi="Calibri"/>
                <w:sz w:val="18"/>
                <w:szCs w:val="18"/>
              </w:rPr>
            </w:pPr>
            <w:r w:rsidRPr="00C851D8">
              <w:rPr>
                <w:rFonts w:ascii="Calibri" w:hAnsi="Calibri"/>
                <w:sz w:val="18"/>
                <w:szCs w:val="18"/>
              </w:rPr>
              <w:t>2,95</w:t>
            </w:r>
          </w:p>
        </w:tc>
        <w:tc>
          <w:tcPr>
            <w:tcW w:w="1193" w:type="dxa"/>
            <w:noWrap/>
            <w:vAlign w:val="bottom"/>
            <w:hideMark/>
          </w:tcPr>
          <w:p w14:paraId="59A80408"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0,001</w:t>
            </w:r>
          </w:p>
        </w:tc>
        <w:tc>
          <w:tcPr>
            <w:tcW w:w="992" w:type="dxa"/>
            <w:noWrap/>
            <w:vAlign w:val="bottom"/>
            <w:hideMark/>
          </w:tcPr>
          <w:p w14:paraId="1DAF9B6C" w14:textId="77777777" w:rsidR="00E80ADC" w:rsidRPr="00C851D8" w:rsidRDefault="00E80ADC" w:rsidP="00E64253">
            <w:pPr>
              <w:jc w:val="right"/>
              <w:rPr>
                <w:rFonts w:ascii="Calibri" w:hAnsi="Calibri"/>
                <w:sz w:val="18"/>
                <w:szCs w:val="18"/>
              </w:rPr>
            </w:pPr>
            <w:r w:rsidRPr="00C851D8">
              <w:rPr>
                <w:rFonts w:ascii="Calibri" w:hAnsi="Calibri"/>
                <w:sz w:val="18"/>
                <w:szCs w:val="18"/>
              </w:rPr>
              <w:t>2,56</w:t>
            </w:r>
          </w:p>
        </w:tc>
        <w:tc>
          <w:tcPr>
            <w:tcW w:w="1276" w:type="dxa"/>
            <w:noWrap/>
            <w:vAlign w:val="bottom"/>
            <w:hideMark/>
          </w:tcPr>
          <w:p w14:paraId="74EA4304"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0,019</w:t>
            </w:r>
          </w:p>
        </w:tc>
      </w:tr>
      <w:tr w:rsidR="00E80ADC" w:rsidRPr="00C851D8" w14:paraId="58AFDE69" w14:textId="77777777" w:rsidTr="0087586D">
        <w:trPr>
          <w:trHeight w:val="300"/>
        </w:trPr>
        <w:tc>
          <w:tcPr>
            <w:tcW w:w="3227" w:type="dxa"/>
            <w:vMerge/>
            <w:shd w:val="clear" w:color="auto" w:fill="FFFFFF" w:themeFill="background1"/>
            <w:noWrap/>
            <w:hideMark/>
          </w:tcPr>
          <w:p w14:paraId="2EBC7F97" w14:textId="77777777" w:rsidR="00E80ADC" w:rsidRPr="00C851D8" w:rsidRDefault="00E80ADC" w:rsidP="00E64253">
            <w:pPr>
              <w:rPr>
                <w:b/>
                <w:sz w:val="18"/>
                <w:szCs w:val="18"/>
              </w:rPr>
            </w:pPr>
          </w:p>
        </w:tc>
        <w:tc>
          <w:tcPr>
            <w:tcW w:w="10773" w:type="dxa"/>
            <w:gridSpan w:val="10"/>
            <w:noWrap/>
            <w:vAlign w:val="bottom"/>
            <w:hideMark/>
          </w:tcPr>
          <w:p w14:paraId="1077A2DE" w14:textId="77777777" w:rsidR="00E80ADC" w:rsidRPr="00C851D8" w:rsidRDefault="00E80ADC" w:rsidP="00E64253">
            <w:pPr>
              <w:jc w:val="center"/>
              <w:rPr>
                <w:rFonts w:ascii="Calibri" w:hAnsi="Calibri"/>
                <w:b/>
                <w:sz w:val="18"/>
                <w:szCs w:val="18"/>
              </w:rPr>
            </w:pPr>
            <w:r w:rsidRPr="00C851D8">
              <w:rPr>
                <w:rFonts w:ascii="Calibri" w:hAnsi="Calibri"/>
                <w:b/>
                <w:sz w:val="18"/>
                <w:szCs w:val="18"/>
              </w:rPr>
              <w:t>Reference (IU/L): M: 1-12 U/L,</w:t>
            </w:r>
            <w:r>
              <w:rPr>
                <w:rFonts w:ascii="Calibri" w:hAnsi="Calibri"/>
                <w:b/>
                <w:sz w:val="18"/>
                <w:szCs w:val="18"/>
              </w:rPr>
              <w:t xml:space="preserve"> </w:t>
            </w:r>
            <w:r w:rsidRPr="00C851D8">
              <w:rPr>
                <w:rFonts w:ascii="Calibri" w:hAnsi="Calibri"/>
                <w:b/>
                <w:sz w:val="18"/>
                <w:szCs w:val="18"/>
              </w:rPr>
              <w:t>F</w:t>
            </w:r>
            <w:r>
              <w:rPr>
                <w:rFonts w:ascii="Calibri" w:hAnsi="Calibri"/>
                <w:b/>
                <w:sz w:val="18"/>
                <w:szCs w:val="18"/>
              </w:rPr>
              <w:t>:</w:t>
            </w:r>
            <w:r w:rsidRPr="00C851D8">
              <w:rPr>
                <w:rFonts w:ascii="Calibri" w:hAnsi="Calibri"/>
                <w:b/>
                <w:sz w:val="18"/>
                <w:szCs w:val="18"/>
              </w:rPr>
              <w:t xml:space="preserve"> 2-22U/L (cycle dependant)</w:t>
            </w:r>
          </w:p>
        </w:tc>
      </w:tr>
      <w:tr w:rsidR="00E80ADC" w:rsidRPr="00C851D8" w14:paraId="61BD2F6C" w14:textId="77777777" w:rsidTr="0087586D">
        <w:trPr>
          <w:trHeight w:val="300"/>
        </w:trPr>
        <w:tc>
          <w:tcPr>
            <w:tcW w:w="3227" w:type="dxa"/>
            <w:vMerge w:val="restart"/>
            <w:shd w:val="clear" w:color="auto" w:fill="FFFFFF" w:themeFill="background1"/>
            <w:noWrap/>
            <w:hideMark/>
          </w:tcPr>
          <w:p w14:paraId="6DF45216" w14:textId="673D0B0C" w:rsidR="00E80ADC" w:rsidRPr="00FD0654" w:rsidRDefault="00E80ADC" w:rsidP="00E64253">
            <w:pPr>
              <w:rPr>
                <w:b/>
                <w:sz w:val="18"/>
                <w:szCs w:val="18"/>
                <w:lang w:val="en-GB"/>
              </w:rPr>
            </w:pPr>
            <w:r w:rsidRPr="00FD0654">
              <w:rPr>
                <w:b/>
                <w:sz w:val="18"/>
                <w:szCs w:val="18"/>
                <w:lang w:val="en-GB"/>
              </w:rPr>
              <w:t>Sex Hormone-Binding Globulin</w:t>
            </w:r>
            <w:r w:rsidR="007A7B24">
              <w:rPr>
                <w:b/>
                <w:sz w:val="18"/>
                <w:szCs w:val="18"/>
                <w:lang w:val="en-GB"/>
              </w:rPr>
              <w:t xml:space="preserve"> (nmol/L)</w:t>
            </w:r>
          </w:p>
          <w:p w14:paraId="50FDFE11" w14:textId="77777777" w:rsidR="00E80ADC" w:rsidRPr="00C851D8" w:rsidRDefault="00E80ADC" w:rsidP="00E64253">
            <w:pPr>
              <w:rPr>
                <w:b/>
                <w:sz w:val="18"/>
                <w:szCs w:val="18"/>
                <w:lang w:val="en-GB"/>
              </w:rPr>
            </w:pPr>
            <w:r w:rsidRPr="00C851D8">
              <w:rPr>
                <w:sz w:val="16"/>
                <w:szCs w:val="16"/>
                <w:lang w:val="en-GB"/>
              </w:rPr>
              <w:t>Electro-chemoluminescence assay (Roche Diagnostics E170 Modular)</w:t>
            </w:r>
          </w:p>
        </w:tc>
        <w:tc>
          <w:tcPr>
            <w:tcW w:w="1044" w:type="dxa"/>
            <w:noWrap/>
            <w:vAlign w:val="bottom"/>
            <w:hideMark/>
          </w:tcPr>
          <w:p w14:paraId="3B08B78E" w14:textId="77777777" w:rsidR="00E80ADC" w:rsidRPr="00C851D8" w:rsidRDefault="00E80ADC" w:rsidP="00E64253">
            <w:pPr>
              <w:jc w:val="right"/>
              <w:rPr>
                <w:rFonts w:ascii="Calibri" w:hAnsi="Calibri"/>
                <w:sz w:val="18"/>
                <w:szCs w:val="18"/>
              </w:rPr>
            </w:pPr>
            <w:r w:rsidRPr="00C851D8">
              <w:rPr>
                <w:rFonts w:ascii="Calibri" w:hAnsi="Calibri"/>
                <w:sz w:val="18"/>
                <w:szCs w:val="18"/>
              </w:rPr>
              <w:t>77,14</w:t>
            </w:r>
          </w:p>
        </w:tc>
        <w:tc>
          <w:tcPr>
            <w:tcW w:w="1045" w:type="dxa"/>
            <w:noWrap/>
            <w:vAlign w:val="bottom"/>
            <w:hideMark/>
          </w:tcPr>
          <w:p w14:paraId="58769335" w14:textId="77777777" w:rsidR="00E80ADC" w:rsidRPr="00C851D8" w:rsidRDefault="00E80ADC" w:rsidP="00E64253">
            <w:pPr>
              <w:jc w:val="right"/>
              <w:rPr>
                <w:rFonts w:ascii="Calibri" w:hAnsi="Calibri"/>
                <w:sz w:val="18"/>
                <w:szCs w:val="18"/>
              </w:rPr>
            </w:pPr>
            <w:r w:rsidRPr="00C851D8">
              <w:rPr>
                <w:rFonts w:ascii="Calibri" w:hAnsi="Calibri"/>
                <w:sz w:val="18"/>
                <w:szCs w:val="18"/>
              </w:rPr>
              <w:t>20,88</w:t>
            </w:r>
          </w:p>
        </w:tc>
        <w:tc>
          <w:tcPr>
            <w:tcW w:w="1045" w:type="dxa"/>
            <w:noWrap/>
            <w:vAlign w:val="bottom"/>
            <w:hideMark/>
          </w:tcPr>
          <w:p w14:paraId="57FA432D"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&lt;0,001</w:t>
            </w:r>
          </w:p>
        </w:tc>
        <w:tc>
          <w:tcPr>
            <w:tcW w:w="1044" w:type="dxa"/>
            <w:noWrap/>
            <w:vAlign w:val="bottom"/>
            <w:hideMark/>
          </w:tcPr>
          <w:p w14:paraId="36EFF6E8" w14:textId="77777777" w:rsidR="00E80ADC" w:rsidRPr="00C851D8" w:rsidRDefault="00E80ADC" w:rsidP="00E64253">
            <w:pPr>
              <w:jc w:val="right"/>
              <w:rPr>
                <w:rFonts w:ascii="Calibri" w:hAnsi="Calibri"/>
                <w:sz w:val="18"/>
                <w:szCs w:val="18"/>
              </w:rPr>
            </w:pPr>
            <w:r w:rsidRPr="00C851D8">
              <w:rPr>
                <w:rFonts w:ascii="Calibri" w:hAnsi="Calibri"/>
                <w:sz w:val="18"/>
                <w:szCs w:val="18"/>
              </w:rPr>
              <w:t>19,15</w:t>
            </w:r>
          </w:p>
        </w:tc>
        <w:tc>
          <w:tcPr>
            <w:tcW w:w="1045" w:type="dxa"/>
            <w:noWrap/>
            <w:vAlign w:val="bottom"/>
            <w:hideMark/>
          </w:tcPr>
          <w:p w14:paraId="2EDFE8CA"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0,001</w:t>
            </w:r>
          </w:p>
        </w:tc>
        <w:tc>
          <w:tcPr>
            <w:tcW w:w="1045" w:type="dxa"/>
            <w:noWrap/>
            <w:vAlign w:val="bottom"/>
            <w:hideMark/>
          </w:tcPr>
          <w:p w14:paraId="5EF2644C" w14:textId="77777777" w:rsidR="00E80ADC" w:rsidRPr="00C851D8" w:rsidRDefault="00E80ADC" w:rsidP="00E64253">
            <w:pPr>
              <w:jc w:val="right"/>
              <w:rPr>
                <w:rFonts w:ascii="Calibri" w:hAnsi="Calibri"/>
                <w:sz w:val="18"/>
                <w:szCs w:val="18"/>
              </w:rPr>
            </w:pPr>
            <w:r w:rsidRPr="00C851D8">
              <w:rPr>
                <w:rFonts w:ascii="Calibri" w:hAnsi="Calibri"/>
                <w:sz w:val="18"/>
                <w:szCs w:val="18"/>
              </w:rPr>
              <w:t>30,34</w:t>
            </w:r>
          </w:p>
        </w:tc>
        <w:tc>
          <w:tcPr>
            <w:tcW w:w="1044" w:type="dxa"/>
            <w:noWrap/>
            <w:vAlign w:val="bottom"/>
            <w:hideMark/>
          </w:tcPr>
          <w:p w14:paraId="13FEAC6D" w14:textId="77777777" w:rsidR="00E80ADC" w:rsidRPr="00C851D8" w:rsidRDefault="00E80ADC" w:rsidP="00E64253">
            <w:pPr>
              <w:jc w:val="right"/>
              <w:rPr>
                <w:rFonts w:ascii="Calibri" w:hAnsi="Calibri"/>
                <w:sz w:val="18"/>
                <w:szCs w:val="18"/>
              </w:rPr>
            </w:pPr>
            <w:r w:rsidRPr="00C851D8">
              <w:rPr>
                <w:rFonts w:ascii="Calibri" w:hAnsi="Calibri"/>
                <w:sz w:val="18"/>
                <w:szCs w:val="18"/>
              </w:rPr>
              <w:t>25,27</w:t>
            </w:r>
          </w:p>
        </w:tc>
        <w:tc>
          <w:tcPr>
            <w:tcW w:w="1193" w:type="dxa"/>
            <w:noWrap/>
            <w:vAlign w:val="bottom"/>
            <w:hideMark/>
          </w:tcPr>
          <w:p w14:paraId="2C298BE5"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0,279</w:t>
            </w:r>
          </w:p>
        </w:tc>
        <w:tc>
          <w:tcPr>
            <w:tcW w:w="992" w:type="dxa"/>
            <w:noWrap/>
            <w:vAlign w:val="bottom"/>
            <w:hideMark/>
          </w:tcPr>
          <w:p w14:paraId="50E88FCE" w14:textId="77777777" w:rsidR="00E80ADC" w:rsidRPr="00C851D8" w:rsidRDefault="00E80ADC" w:rsidP="00E64253">
            <w:pPr>
              <w:jc w:val="right"/>
              <w:rPr>
                <w:rFonts w:ascii="Calibri" w:hAnsi="Calibri"/>
                <w:sz w:val="18"/>
                <w:szCs w:val="18"/>
              </w:rPr>
            </w:pPr>
            <w:r w:rsidRPr="00C851D8">
              <w:rPr>
                <w:rFonts w:ascii="Calibri" w:hAnsi="Calibri"/>
                <w:sz w:val="18"/>
                <w:szCs w:val="18"/>
              </w:rPr>
              <w:t>23,51</w:t>
            </w:r>
          </w:p>
        </w:tc>
        <w:tc>
          <w:tcPr>
            <w:tcW w:w="1276" w:type="dxa"/>
            <w:noWrap/>
            <w:vAlign w:val="bottom"/>
            <w:hideMark/>
          </w:tcPr>
          <w:p w14:paraId="04E1B3D9"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0,279</w:t>
            </w:r>
          </w:p>
        </w:tc>
      </w:tr>
      <w:tr w:rsidR="00E80ADC" w:rsidRPr="002A729A" w14:paraId="3F3FC528" w14:textId="77777777" w:rsidTr="0087586D">
        <w:trPr>
          <w:trHeight w:val="300"/>
        </w:trPr>
        <w:tc>
          <w:tcPr>
            <w:tcW w:w="3227" w:type="dxa"/>
            <w:vMerge/>
            <w:shd w:val="clear" w:color="auto" w:fill="FFFFFF" w:themeFill="background1"/>
            <w:noWrap/>
            <w:hideMark/>
          </w:tcPr>
          <w:p w14:paraId="31D126CA" w14:textId="77777777" w:rsidR="00E80ADC" w:rsidRPr="00C851D8" w:rsidRDefault="00E80ADC" w:rsidP="00E64253">
            <w:pPr>
              <w:rPr>
                <w:b/>
                <w:sz w:val="18"/>
                <w:szCs w:val="18"/>
              </w:rPr>
            </w:pPr>
          </w:p>
        </w:tc>
        <w:tc>
          <w:tcPr>
            <w:tcW w:w="10773" w:type="dxa"/>
            <w:gridSpan w:val="10"/>
            <w:noWrap/>
            <w:vAlign w:val="bottom"/>
            <w:hideMark/>
          </w:tcPr>
          <w:p w14:paraId="3FC9E415" w14:textId="77777777" w:rsidR="00E80ADC" w:rsidRPr="00C851D8" w:rsidRDefault="00E80ADC" w:rsidP="00E64253">
            <w:pPr>
              <w:jc w:val="center"/>
              <w:rPr>
                <w:rFonts w:ascii="Calibri" w:hAnsi="Calibri"/>
                <w:b/>
                <w:sz w:val="18"/>
                <w:szCs w:val="18"/>
                <w:lang w:val="en-GB"/>
              </w:rPr>
            </w:pPr>
            <w:r w:rsidRPr="00C851D8">
              <w:rPr>
                <w:rFonts w:ascii="Calibri" w:hAnsi="Calibri"/>
                <w:b/>
                <w:sz w:val="18"/>
                <w:szCs w:val="18"/>
                <w:lang w:val="en-GB"/>
              </w:rPr>
              <w:t>Reference (nmol/L): M&lt;70y: 11,6-71,2, F&lt;50y: 10,5-163,7</w:t>
            </w:r>
          </w:p>
        </w:tc>
      </w:tr>
      <w:tr w:rsidR="00E80ADC" w:rsidRPr="00C851D8" w14:paraId="4A061D75" w14:textId="77777777" w:rsidTr="0087586D">
        <w:trPr>
          <w:trHeight w:val="360"/>
        </w:trPr>
        <w:tc>
          <w:tcPr>
            <w:tcW w:w="3227" w:type="dxa"/>
            <w:vMerge w:val="restart"/>
            <w:shd w:val="clear" w:color="auto" w:fill="FFFFFF" w:themeFill="background1"/>
            <w:noWrap/>
            <w:hideMark/>
          </w:tcPr>
          <w:p w14:paraId="0C7B6CF8" w14:textId="55947CDC" w:rsidR="00E80ADC" w:rsidRPr="00FD0654" w:rsidRDefault="00E80ADC" w:rsidP="00E64253">
            <w:pPr>
              <w:rPr>
                <w:b/>
                <w:sz w:val="18"/>
                <w:szCs w:val="18"/>
                <w:lang w:val="en-GB"/>
              </w:rPr>
            </w:pPr>
            <w:r w:rsidRPr="00FD0654">
              <w:rPr>
                <w:b/>
                <w:sz w:val="18"/>
                <w:szCs w:val="18"/>
                <w:lang w:val="en-GB"/>
              </w:rPr>
              <w:t>Estradiol</w:t>
            </w:r>
            <w:r w:rsidR="007A7B24">
              <w:rPr>
                <w:b/>
                <w:sz w:val="18"/>
                <w:szCs w:val="18"/>
                <w:lang w:val="en-GB"/>
              </w:rPr>
              <w:t xml:space="preserve"> (pmol/L)</w:t>
            </w:r>
          </w:p>
          <w:p w14:paraId="76102CF9" w14:textId="77777777" w:rsidR="00E80ADC" w:rsidRPr="00C851D8" w:rsidRDefault="00E80ADC" w:rsidP="00E64253">
            <w:pPr>
              <w:rPr>
                <w:b/>
                <w:sz w:val="18"/>
                <w:szCs w:val="18"/>
                <w:lang w:val="en-GB"/>
              </w:rPr>
            </w:pPr>
            <w:r w:rsidRPr="00C851D8">
              <w:rPr>
                <w:sz w:val="16"/>
                <w:szCs w:val="16"/>
                <w:lang w:val="en-GB"/>
              </w:rPr>
              <w:t>Electro-chemoluminescence assay (Roche Diagnostics E170 Modular)</w:t>
            </w:r>
          </w:p>
        </w:tc>
        <w:tc>
          <w:tcPr>
            <w:tcW w:w="1044" w:type="dxa"/>
            <w:noWrap/>
            <w:vAlign w:val="bottom"/>
            <w:hideMark/>
          </w:tcPr>
          <w:p w14:paraId="659A4637" w14:textId="77777777" w:rsidR="00E80ADC" w:rsidRPr="00C851D8" w:rsidRDefault="00E80ADC" w:rsidP="00E64253">
            <w:pPr>
              <w:jc w:val="right"/>
              <w:rPr>
                <w:rFonts w:ascii="Calibri" w:hAnsi="Calibri"/>
                <w:sz w:val="18"/>
                <w:szCs w:val="18"/>
              </w:rPr>
            </w:pPr>
            <w:r w:rsidRPr="00C851D8">
              <w:rPr>
                <w:rFonts w:ascii="Calibri" w:hAnsi="Calibri"/>
                <w:sz w:val="18"/>
                <w:szCs w:val="18"/>
              </w:rPr>
              <w:t>277,564</w:t>
            </w:r>
          </w:p>
        </w:tc>
        <w:tc>
          <w:tcPr>
            <w:tcW w:w="1045" w:type="dxa"/>
            <w:noWrap/>
            <w:vAlign w:val="bottom"/>
            <w:hideMark/>
          </w:tcPr>
          <w:p w14:paraId="6A848C43" w14:textId="77777777" w:rsidR="00E80ADC" w:rsidRPr="00C851D8" w:rsidRDefault="00E80ADC" w:rsidP="00E64253">
            <w:pPr>
              <w:jc w:val="right"/>
              <w:rPr>
                <w:rFonts w:ascii="Calibri" w:hAnsi="Calibri"/>
                <w:sz w:val="18"/>
                <w:szCs w:val="18"/>
              </w:rPr>
            </w:pPr>
            <w:r w:rsidRPr="00C851D8">
              <w:rPr>
                <w:rFonts w:ascii="Calibri" w:hAnsi="Calibri"/>
                <w:sz w:val="18"/>
                <w:szCs w:val="18"/>
              </w:rPr>
              <w:t>119,895</w:t>
            </w:r>
          </w:p>
        </w:tc>
        <w:tc>
          <w:tcPr>
            <w:tcW w:w="1045" w:type="dxa"/>
            <w:noWrap/>
            <w:vAlign w:val="bottom"/>
            <w:hideMark/>
          </w:tcPr>
          <w:p w14:paraId="7A05CFD6"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0,002</w:t>
            </w:r>
          </w:p>
        </w:tc>
        <w:tc>
          <w:tcPr>
            <w:tcW w:w="1044" w:type="dxa"/>
            <w:noWrap/>
            <w:vAlign w:val="bottom"/>
            <w:hideMark/>
          </w:tcPr>
          <w:p w14:paraId="4C033B5A" w14:textId="77777777" w:rsidR="00E80ADC" w:rsidRPr="00C851D8" w:rsidRDefault="00E80ADC" w:rsidP="00E64253">
            <w:pPr>
              <w:jc w:val="right"/>
              <w:rPr>
                <w:rFonts w:ascii="Calibri" w:hAnsi="Calibri"/>
                <w:sz w:val="18"/>
                <w:szCs w:val="18"/>
              </w:rPr>
            </w:pPr>
            <w:r w:rsidRPr="00C851D8">
              <w:rPr>
                <w:rFonts w:ascii="Calibri" w:hAnsi="Calibri"/>
                <w:sz w:val="18"/>
                <w:szCs w:val="18"/>
              </w:rPr>
              <w:t>120,225</w:t>
            </w:r>
          </w:p>
        </w:tc>
        <w:tc>
          <w:tcPr>
            <w:tcW w:w="1045" w:type="dxa"/>
            <w:noWrap/>
            <w:vAlign w:val="bottom"/>
            <w:hideMark/>
          </w:tcPr>
          <w:p w14:paraId="3308DA37"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0,122</w:t>
            </w:r>
          </w:p>
        </w:tc>
        <w:tc>
          <w:tcPr>
            <w:tcW w:w="1045" w:type="dxa"/>
            <w:noWrap/>
            <w:vAlign w:val="bottom"/>
            <w:hideMark/>
          </w:tcPr>
          <w:p w14:paraId="75A846BF" w14:textId="77777777" w:rsidR="00E80ADC" w:rsidRPr="00C851D8" w:rsidRDefault="00E80ADC" w:rsidP="00E64253">
            <w:pPr>
              <w:jc w:val="right"/>
              <w:rPr>
                <w:rFonts w:ascii="Calibri" w:hAnsi="Calibri"/>
                <w:sz w:val="18"/>
                <w:szCs w:val="18"/>
              </w:rPr>
            </w:pPr>
            <w:r w:rsidRPr="00C851D8">
              <w:rPr>
                <w:rFonts w:ascii="Calibri" w:hAnsi="Calibri"/>
                <w:sz w:val="18"/>
                <w:szCs w:val="18"/>
              </w:rPr>
              <w:t>117,802</w:t>
            </w:r>
          </w:p>
        </w:tc>
        <w:tc>
          <w:tcPr>
            <w:tcW w:w="1044" w:type="dxa"/>
            <w:noWrap/>
            <w:vAlign w:val="bottom"/>
            <w:hideMark/>
          </w:tcPr>
          <w:p w14:paraId="53AEF443" w14:textId="77777777" w:rsidR="00E80ADC" w:rsidRPr="00C851D8" w:rsidRDefault="00E80ADC" w:rsidP="00E64253">
            <w:pPr>
              <w:jc w:val="right"/>
              <w:rPr>
                <w:rFonts w:ascii="Calibri" w:hAnsi="Calibri"/>
                <w:sz w:val="18"/>
                <w:szCs w:val="18"/>
              </w:rPr>
            </w:pPr>
            <w:r w:rsidRPr="00C851D8">
              <w:rPr>
                <w:rFonts w:ascii="Calibri" w:hAnsi="Calibri"/>
                <w:sz w:val="18"/>
                <w:szCs w:val="18"/>
              </w:rPr>
              <w:t>175,841</w:t>
            </w:r>
          </w:p>
        </w:tc>
        <w:tc>
          <w:tcPr>
            <w:tcW w:w="1193" w:type="dxa"/>
            <w:noWrap/>
            <w:vAlign w:val="bottom"/>
            <w:hideMark/>
          </w:tcPr>
          <w:p w14:paraId="79DD9750"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0,107</w:t>
            </w:r>
          </w:p>
        </w:tc>
        <w:tc>
          <w:tcPr>
            <w:tcW w:w="992" w:type="dxa"/>
            <w:noWrap/>
            <w:vAlign w:val="bottom"/>
            <w:hideMark/>
          </w:tcPr>
          <w:p w14:paraId="4502C442" w14:textId="77777777" w:rsidR="00E80ADC" w:rsidRPr="00C851D8" w:rsidRDefault="00E80ADC" w:rsidP="00E64253">
            <w:pPr>
              <w:jc w:val="right"/>
              <w:rPr>
                <w:rFonts w:ascii="Calibri" w:hAnsi="Calibri"/>
                <w:sz w:val="18"/>
                <w:szCs w:val="18"/>
              </w:rPr>
            </w:pPr>
            <w:r w:rsidRPr="00C851D8">
              <w:rPr>
                <w:rFonts w:ascii="Calibri" w:hAnsi="Calibri"/>
                <w:sz w:val="18"/>
                <w:szCs w:val="18"/>
              </w:rPr>
              <w:t>156,348</w:t>
            </w:r>
          </w:p>
        </w:tc>
        <w:tc>
          <w:tcPr>
            <w:tcW w:w="1276" w:type="dxa"/>
            <w:noWrap/>
            <w:vAlign w:val="bottom"/>
            <w:hideMark/>
          </w:tcPr>
          <w:p w14:paraId="162FFCE8"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0,701</w:t>
            </w:r>
          </w:p>
        </w:tc>
      </w:tr>
      <w:tr w:rsidR="00E80ADC" w:rsidRPr="002A729A" w14:paraId="176053F1" w14:textId="77777777" w:rsidTr="0087586D">
        <w:trPr>
          <w:trHeight w:val="360"/>
        </w:trPr>
        <w:tc>
          <w:tcPr>
            <w:tcW w:w="3227" w:type="dxa"/>
            <w:vMerge/>
            <w:shd w:val="clear" w:color="auto" w:fill="FFFFFF" w:themeFill="background1"/>
            <w:noWrap/>
            <w:hideMark/>
          </w:tcPr>
          <w:p w14:paraId="67A4EECA" w14:textId="77777777" w:rsidR="00E80ADC" w:rsidRPr="00C851D8" w:rsidRDefault="00E80ADC" w:rsidP="00E64253">
            <w:pPr>
              <w:rPr>
                <w:b/>
                <w:sz w:val="18"/>
                <w:szCs w:val="18"/>
              </w:rPr>
            </w:pPr>
          </w:p>
        </w:tc>
        <w:tc>
          <w:tcPr>
            <w:tcW w:w="10773" w:type="dxa"/>
            <w:gridSpan w:val="10"/>
            <w:noWrap/>
            <w:vAlign w:val="bottom"/>
            <w:hideMark/>
          </w:tcPr>
          <w:p w14:paraId="3D699AB1" w14:textId="77777777" w:rsidR="00E80ADC" w:rsidRPr="00C851D8" w:rsidRDefault="00E80ADC" w:rsidP="00E64253">
            <w:pPr>
              <w:jc w:val="center"/>
              <w:rPr>
                <w:rFonts w:ascii="Calibri" w:hAnsi="Calibri"/>
                <w:b/>
                <w:sz w:val="18"/>
                <w:szCs w:val="18"/>
                <w:lang w:val="en-GB"/>
              </w:rPr>
            </w:pPr>
            <w:r w:rsidRPr="00C851D8">
              <w:rPr>
                <w:rFonts w:ascii="Calibri" w:hAnsi="Calibri"/>
                <w:b/>
                <w:sz w:val="18"/>
                <w:szCs w:val="18"/>
                <w:lang w:val="en-GB"/>
              </w:rPr>
              <w:t>Reference (pmol/L): M: 99.484-191.626, F: 98.016-1152.694 (cycle dependant)</w:t>
            </w:r>
          </w:p>
        </w:tc>
      </w:tr>
      <w:tr w:rsidR="00E80ADC" w:rsidRPr="00C851D8" w14:paraId="7E942909" w14:textId="77777777" w:rsidTr="0087586D">
        <w:trPr>
          <w:trHeight w:val="300"/>
        </w:trPr>
        <w:tc>
          <w:tcPr>
            <w:tcW w:w="3227" w:type="dxa"/>
            <w:vMerge w:val="restart"/>
            <w:shd w:val="clear" w:color="auto" w:fill="FFFFFF" w:themeFill="background1"/>
            <w:noWrap/>
            <w:hideMark/>
          </w:tcPr>
          <w:p w14:paraId="6580FDA5" w14:textId="20CB918C" w:rsidR="00E80ADC" w:rsidRPr="00FD0654" w:rsidRDefault="00E80ADC" w:rsidP="00E64253">
            <w:pPr>
              <w:rPr>
                <w:b/>
                <w:sz w:val="18"/>
                <w:szCs w:val="18"/>
                <w:lang w:val="en-GB"/>
              </w:rPr>
            </w:pPr>
            <w:r w:rsidRPr="00FD0654">
              <w:rPr>
                <w:b/>
                <w:sz w:val="18"/>
                <w:szCs w:val="18"/>
                <w:lang w:val="en-GB"/>
              </w:rPr>
              <w:t>Testosterone</w:t>
            </w:r>
            <w:r w:rsidR="007A7B24">
              <w:rPr>
                <w:b/>
                <w:sz w:val="18"/>
                <w:szCs w:val="18"/>
                <w:lang w:val="en-GB"/>
              </w:rPr>
              <w:t xml:space="preserve"> (nmol/L)</w:t>
            </w:r>
          </w:p>
          <w:p w14:paraId="208F8C85" w14:textId="77777777" w:rsidR="00E80ADC" w:rsidRPr="00C851D8" w:rsidRDefault="00E80ADC" w:rsidP="00E64253">
            <w:pPr>
              <w:rPr>
                <w:b/>
                <w:sz w:val="18"/>
                <w:szCs w:val="18"/>
                <w:lang w:val="en-GB"/>
              </w:rPr>
            </w:pPr>
            <w:r w:rsidRPr="00C851D8">
              <w:rPr>
                <w:sz w:val="16"/>
                <w:szCs w:val="16"/>
                <w:lang w:val="en-GB"/>
              </w:rPr>
              <w:t>liquid chromatography tandem mass spectrometry (LC/MSMS)</w:t>
            </w:r>
          </w:p>
        </w:tc>
        <w:tc>
          <w:tcPr>
            <w:tcW w:w="1044" w:type="dxa"/>
            <w:noWrap/>
            <w:vAlign w:val="bottom"/>
            <w:hideMark/>
          </w:tcPr>
          <w:p w14:paraId="3E0E7B2C" w14:textId="77777777" w:rsidR="00E80ADC" w:rsidRPr="00C851D8" w:rsidRDefault="00E80ADC" w:rsidP="00E64253">
            <w:pPr>
              <w:jc w:val="right"/>
              <w:rPr>
                <w:rFonts w:ascii="Calibri" w:hAnsi="Calibri"/>
                <w:sz w:val="18"/>
                <w:szCs w:val="18"/>
              </w:rPr>
            </w:pPr>
            <w:r w:rsidRPr="00C851D8">
              <w:rPr>
                <w:rFonts w:ascii="Calibri" w:hAnsi="Calibri"/>
                <w:sz w:val="18"/>
                <w:szCs w:val="18"/>
              </w:rPr>
              <w:t>0,950</w:t>
            </w:r>
          </w:p>
        </w:tc>
        <w:tc>
          <w:tcPr>
            <w:tcW w:w="1045" w:type="dxa"/>
            <w:noWrap/>
            <w:vAlign w:val="bottom"/>
            <w:hideMark/>
          </w:tcPr>
          <w:p w14:paraId="4C980AF2" w14:textId="77777777" w:rsidR="00E80ADC" w:rsidRPr="00C851D8" w:rsidRDefault="00E80ADC" w:rsidP="00E64253">
            <w:pPr>
              <w:jc w:val="right"/>
              <w:rPr>
                <w:rFonts w:ascii="Calibri" w:hAnsi="Calibri"/>
                <w:sz w:val="18"/>
                <w:szCs w:val="18"/>
              </w:rPr>
            </w:pPr>
            <w:r w:rsidRPr="00C851D8">
              <w:rPr>
                <w:rFonts w:ascii="Calibri" w:hAnsi="Calibri"/>
                <w:sz w:val="18"/>
                <w:szCs w:val="18"/>
              </w:rPr>
              <w:t>0,667</w:t>
            </w:r>
          </w:p>
        </w:tc>
        <w:tc>
          <w:tcPr>
            <w:tcW w:w="1045" w:type="dxa"/>
            <w:noWrap/>
            <w:vAlign w:val="bottom"/>
            <w:hideMark/>
          </w:tcPr>
          <w:p w14:paraId="7FE8B615"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0,002</w:t>
            </w:r>
          </w:p>
        </w:tc>
        <w:tc>
          <w:tcPr>
            <w:tcW w:w="1044" w:type="dxa"/>
            <w:noWrap/>
            <w:vAlign w:val="bottom"/>
            <w:hideMark/>
          </w:tcPr>
          <w:p w14:paraId="1D9E5178" w14:textId="77777777" w:rsidR="00E80ADC" w:rsidRPr="00C851D8" w:rsidRDefault="00E80ADC" w:rsidP="00E64253">
            <w:pPr>
              <w:jc w:val="right"/>
              <w:rPr>
                <w:rFonts w:ascii="Calibri" w:hAnsi="Calibri"/>
                <w:sz w:val="18"/>
                <w:szCs w:val="18"/>
              </w:rPr>
            </w:pPr>
            <w:r w:rsidRPr="00C851D8">
              <w:rPr>
                <w:rFonts w:ascii="Calibri" w:hAnsi="Calibri"/>
                <w:sz w:val="18"/>
                <w:szCs w:val="18"/>
              </w:rPr>
              <w:t>0,663</w:t>
            </w:r>
          </w:p>
        </w:tc>
        <w:tc>
          <w:tcPr>
            <w:tcW w:w="1045" w:type="dxa"/>
            <w:noWrap/>
            <w:vAlign w:val="bottom"/>
            <w:hideMark/>
          </w:tcPr>
          <w:p w14:paraId="5DA83C96"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0,687</w:t>
            </w:r>
          </w:p>
        </w:tc>
        <w:tc>
          <w:tcPr>
            <w:tcW w:w="1045" w:type="dxa"/>
            <w:noWrap/>
            <w:vAlign w:val="bottom"/>
            <w:hideMark/>
          </w:tcPr>
          <w:p w14:paraId="1A293816" w14:textId="77777777" w:rsidR="00E80ADC" w:rsidRPr="00C851D8" w:rsidRDefault="00E80ADC" w:rsidP="00E64253">
            <w:pPr>
              <w:jc w:val="right"/>
              <w:rPr>
                <w:rFonts w:ascii="Calibri" w:hAnsi="Calibri"/>
                <w:sz w:val="18"/>
                <w:szCs w:val="18"/>
              </w:rPr>
            </w:pPr>
            <w:r w:rsidRPr="00C851D8">
              <w:rPr>
                <w:rFonts w:ascii="Calibri" w:hAnsi="Calibri"/>
                <w:sz w:val="18"/>
                <w:szCs w:val="18"/>
              </w:rPr>
              <w:t>0,844</w:t>
            </w:r>
          </w:p>
        </w:tc>
        <w:tc>
          <w:tcPr>
            <w:tcW w:w="1044" w:type="dxa"/>
            <w:noWrap/>
            <w:vAlign w:val="bottom"/>
            <w:hideMark/>
          </w:tcPr>
          <w:p w14:paraId="3A59658E" w14:textId="77777777" w:rsidR="00E80ADC" w:rsidRPr="00C851D8" w:rsidRDefault="00E80ADC" w:rsidP="00E64253">
            <w:pPr>
              <w:jc w:val="right"/>
              <w:rPr>
                <w:rFonts w:ascii="Calibri" w:hAnsi="Calibri"/>
                <w:sz w:val="18"/>
                <w:szCs w:val="18"/>
              </w:rPr>
            </w:pPr>
            <w:r w:rsidRPr="00C851D8">
              <w:rPr>
                <w:rFonts w:ascii="Calibri" w:hAnsi="Calibri"/>
                <w:sz w:val="18"/>
                <w:szCs w:val="18"/>
              </w:rPr>
              <w:t>15,559</w:t>
            </w:r>
          </w:p>
        </w:tc>
        <w:tc>
          <w:tcPr>
            <w:tcW w:w="1193" w:type="dxa"/>
            <w:noWrap/>
            <w:vAlign w:val="bottom"/>
            <w:hideMark/>
          </w:tcPr>
          <w:p w14:paraId="1299CFF5"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&lt;0,001</w:t>
            </w:r>
          </w:p>
        </w:tc>
        <w:tc>
          <w:tcPr>
            <w:tcW w:w="992" w:type="dxa"/>
            <w:noWrap/>
            <w:vAlign w:val="bottom"/>
            <w:hideMark/>
          </w:tcPr>
          <w:p w14:paraId="31CB958A" w14:textId="77777777" w:rsidR="00E80ADC" w:rsidRPr="00C851D8" w:rsidRDefault="00E80ADC" w:rsidP="00E64253">
            <w:pPr>
              <w:jc w:val="right"/>
              <w:rPr>
                <w:rFonts w:ascii="Calibri" w:hAnsi="Calibri"/>
                <w:sz w:val="18"/>
                <w:szCs w:val="18"/>
              </w:rPr>
            </w:pPr>
            <w:r w:rsidRPr="00C851D8">
              <w:rPr>
                <w:rFonts w:ascii="Calibri" w:hAnsi="Calibri"/>
                <w:sz w:val="18"/>
                <w:szCs w:val="18"/>
              </w:rPr>
              <w:t>19,532</w:t>
            </w:r>
          </w:p>
        </w:tc>
        <w:tc>
          <w:tcPr>
            <w:tcW w:w="1276" w:type="dxa"/>
            <w:noWrap/>
            <w:vAlign w:val="bottom"/>
            <w:hideMark/>
          </w:tcPr>
          <w:p w14:paraId="6A349710"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0,001</w:t>
            </w:r>
          </w:p>
        </w:tc>
      </w:tr>
      <w:tr w:rsidR="00E80ADC" w:rsidRPr="002A729A" w14:paraId="48CB1F89" w14:textId="77777777" w:rsidTr="0087586D">
        <w:trPr>
          <w:trHeight w:val="300"/>
        </w:trPr>
        <w:tc>
          <w:tcPr>
            <w:tcW w:w="3227" w:type="dxa"/>
            <w:vMerge/>
            <w:shd w:val="clear" w:color="auto" w:fill="FFFFFF" w:themeFill="background1"/>
            <w:noWrap/>
            <w:hideMark/>
          </w:tcPr>
          <w:p w14:paraId="14F73183" w14:textId="77777777" w:rsidR="00E80ADC" w:rsidRPr="00C851D8" w:rsidRDefault="00E80ADC" w:rsidP="00E64253">
            <w:pPr>
              <w:rPr>
                <w:b/>
                <w:sz w:val="18"/>
                <w:szCs w:val="18"/>
              </w:rPr>
            </w:pPr>
          </w:p>
        </w:tc>
        <w:tc>
          <w:tcPr>
            <w:tcW w:w="10773" w:type="dxa"/>
            <w:gridSpan w:val="10"/>
            <w:noWrap/>
            <w:vAlign w:val="bottom"/>
            <w:hideMark/>
          </w:tcPr>
          <w:p w14:paraId="6A333026" w14:textId="77777777" w:rsidR="00E80ADC" w:rsidRPr="00C851D8" w:rsidRDefault="00E80ADC" w:rsidP="00E64253">
            <w:pPr>
              <w:jc w:val="center"/>
              <w:rPr>
                <w:rFonts w:ascii="Calibri" w:hAnsi="Calibri"/>
                <w:b/>
                <w:sz w:val="18"/>
                <w:szCs w:val="18"/>
                <w:lang w:val="en-GB"/>
              </w:rPr>
            </w:pPr>
            <w:r w:rsidRPr="00C851D8">
              <w:rPr>
                <w:rFonts w:ascii="Calibri" w:hAnsi="Calibri"/>
                <w:b/>
                <w:sz w:val="18"/>
                <w:szCs w:val="18"/>
                <w:lang w:val="en-GB"/>
              </w:rPr>
              <w:t>Reference (nmol/L): M: 11.139-34.874, F&lt;50y: 0.291-1.669</w:t>
            </w:r>
          </w:p>
        </w:tc>
      </w:tr>
      <w:tr w:rsidR="00E80ADC" w:rsidRPr="00C851D8" w14:paraId="005B8715" w14:textId="77777777" w:rsidTr="0087586D">
        <w:trPr>
          <w:trHeight w:val="300"/>
        </w:trPr>
        <w:tc>
          <w:tcPr>
            <w:tcW w:w="3227" w:type="dxa"/>
            <w:vMerge w:val="restart"/>
            <w:shd w:val="clear" w:color="auto" w:fill="FFFFFF" w:themeFill="background1"/>
            <w:noWrap/>
            <w:hideMark/>
          </w:tcPr>
          <w:p w14:paraId="33859CAB" w14:textId="7F552361" w:rsidR="00E80ADC" w:rsidRPr="00FB72C6" w:rsidRDefault="00E80ADC" w:rsidP="00E64253">
            <w:pPr>
              <w:rPr>
                <w:b/>
                <w:sz w:val="18"/>
                <w:szCs w:val="18"/>
                <w:lang w:val="en-US"/>
              </w:rPr>
            </w:pPr>
            <w:r w:rsidRPr="00FB72C6">
              <w:rPr>
                <w:b/>
                <w:sz w:val="18"/>
                <w:szCs w:val="18"/>
                <w:lang w:val="en-US"/>
              </w:rPr>
              <w:t>Free Testosterone</w:t>
            </w:r>
            <w:r w:rsidR="007A7B24" w:rsidRPr="00FB72C6">
              <w:rPr>
                <w:b/>
                <w:sz w:val="18"/>
                <w:szCs w:val="18"/>
                <w:lang w:val="en-US"/>
              </w:rPr>
              <w:t xml:space="preserve"> (pmol/L)</w:t>
            </w:r>
          </w:p>
          <w:p w14:paraId="27D8140E" w14:textId="77777777" w:rsidR="00E80ADC" w:rsidRPr="00FB72C6" w:rsidRDefault="00E80ADC" w:rsidP="00E64253">
            <w:pPr>
              <w:rPr>
                <w:b/>
                <w:sz w:val="18"/>
                <w:szCs w:val="18"/>
                <w:lang w:val="en-US"/>
              </w:rPr>
            </w:pPr>
            <w:r w:rsidRPr="00C851D8">
              <w:rPr>
                <w:sz w:val="16"/>
                <w:szCs w:val="16"/>
                <w:lang w:val="en-GB"/>
              </w:rPr>
              <w:t>Calculated</w:t>
            </w:r>
          </w:p>
        </w:tc>
        <w:tc>
          <w:tcPr>
            <w:tcW w:w="1044" w:type="dxa"/>
            <w:noWrap/>
            <w:vAlign w:val="bottom"/>
            <w:hideMark/>
          </w:tcPr>
          <w:p w14:paraId="27861EF3" w14:textId="77777777" w:rsidR="00E80ADC" w:rsidRPr="00C851D8" w:rsidRDefault="00E80ADC" w:rsidP="00E64253">
            <w:pPr>
              <w:jc w:val="right"/>
              <w:rPr>
                <w:rFonts w:ascii="Calibri" w:hAnsi="Calibri"/>
                <w:sz w:val="18"/>
                <w:szCs w:val="18"/>
              </w:rPr>
            </w:pPr>
            <w:r w:rsidRPr="00C851D8">
              <w:rPr>
                <w:rFonts w:ascii="Calibri" w:hAnsi="Calibri"/>
                <w:sz w:val="18"/>
                <w:szCs w:val="18"/>
              </w:rPr>
              <w:t>15,962</w:t>
            </w:r>
          </w:p>
        </w:tc>
        <w:tc>
          <w:tcPr>
            <w:tcW w:w="1045" w:type="dxa"/>
            <w:noWrap/>
            <w:vAlign w:val="bottom"/>
            <w:hideMark/>
          </w:tcPr>
          <w:p w14:paraId="5F5E1D27" w14:textId="77777777" w:rsidR="00E80ADC" w:rsidRPr="00C851D8" w:rsidRDefault="00E80ADC" w:rsidP="00E64253">
            <w:pPr>
              <w:jc w:val="right"/>
              <w:rPr>
                <w:rFonts w:ascii="Calibri" w:hAnsi="Calibri"/>
                <w:sz w:val="18"/>
                <w:szCs w:val="18"/>
              </w:rPr>
            </w:pPr>
            <w:r w:rsidRPr="00C851D8">
              <w:rPr>
                <w:rFonts w:ascii="Calibri" w:hAnsi="Calibri"/>
                <w:sz w:val="18"/>
                <w:szCs w:val="18"/>
              </w:rPr>
              <w:t>24,290</w:t>
            </w:r>
          </w:p>
        </w:tc>
        <w:tc>
          <w:tcPr>
            <w:tcW w:w="1045" w:type="dxa"/>
            <w:noWrap/>
            <w:vAlign w:val="bottom"/>
            <w:hideMark/>
          </w:tcPr>
          <w:p w14:paraId="389148F2"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0,209</w:t>
            </w:r>
          </w:p>
        </w:tc>
        <w:tc>
          <w:tcPr>
            <w:tcW w:w="1044" w:type="dxa"/>
            <w:noWrap/>
            <w:vAlign w:val="bottom"/>
            <w:hideMark/>
          </w:tcPr>
          <w:p w14:paraId="38A83558" w14:textId="77777777" w:rsidR="00E80ADC" w:rsidRPr="00C851D8" w:rsidRDefault="00E80ADC" w:rsidP="00E64253">
            <w:pPr>
              <w:jc w:val="right"/>
              <w:rPr>
                <w:rFonts w:ascii="Calibri" w:hAnsi="Calibri"/>
                <w:sz w:val="18"/>
                <w:szCs w:val="18"/>
              </w:rPr>
            </w:pPr>
            <w:r w:rsidRPr="00C851D8">
              <w:rPr>
                <w:rFonts w:ascii="Calibri" w:hAnsi="Calibri"/>
                <w:sz w:val="18"/>
                <w:szCs w:val="18"/>
              </w:rPr>
              <w:t>21,861</w:t>
            </w:r>
          </w:p>
        </w:tc>
        <w:tc>
          <w:tcPr>
            <w:tcW w:w="1045" w:type="dxa"/>
            <w:noWrap/>
            <w:vAlign w:val="bottom"/>
            <w:hideMark/>
          </w:tcPr>
          <w:p w14:paraId="28134B1C"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0,138</w:t>
            </w:r>
          </w:p>
        </w:tc>
        <w:tc>
          <w:tcPr>
            <w:tcW w:w="1045" w:type="dxa"/>
            <w:noWrap/>
            <w:vAlign w:val="bottom"/>
            <w:hideMark/>
          </w:tcPr>
          <w:p w14:paraId="0735385C" w14:textId="77777777" w:rsidR="00E80ADC" w:rsidRPr="00C851D8" w:rsidRDefault="00E80ADC" w:rsidP="00E64253">
            <w:pPr>
              <w:jc w:val="right"/>
              <w:rPr>
                <w:rFonts w:ascii="Calibri" w:hAnsi="Calibri"/>
                <w:sz w:val="18"/>
                <w:szCs w:val="18"/>
              </w:rPr>
            </w:pPr>
            <w:r w:rsidRPr="00C851D8">
              <w:rPr>
                <w:rFonts w:ascii="Calibri" w:hAnsi="Calibri"/>
                <w:sz w:val="18"/>
                <w:szCs w:val="18"/>
              </w:rPr>
              <w:t>25,678</w:t>
            </w:r>
          </w:p>
        </w:tc>
        <w:tc>
          <w:tcPr>
            <w:tcW w:w="1044" w:type="dxa"/>
            <w:noWrap/>
            <w:vAlign w:val="bottom"/>
            <w:hideMark/>
          </w:tcPr>
          <w:p w14:paraId="1FBFC3F7" w14:textId="77777777" w:rsidR="00E80ADC" w:rsidRPr="00C851D8" w:rsidRDefault="00E80ADC" w:rsidP="00E64253">
            <w:pPr>
              <w:jc w:val="right"/>
              <w:rPr>
                <w:rFonts w:ascii="Calibri" w:hAnsi="Calibri"/>
                <w:sz w:val="18"/>
                <w:szCs w:val="18"/>
              </w:rPr>
            </w:pPr>
            <w:r w:rsidRPr="00C851D8">
              <w:rPr>
                <w:rFonts w:ascii="Calibri" w:hAnsi="Calibri"/>
                <w:sz w:val="18"/>
                <w:szCs w:val="18"/>
              </w:rPr>
              <w:t>295,297</w:t>
            </w:r>
          </w:p>
        </w:tc>
        <w:tc>
          <w:tcPr>
            <w:tcW w:w="1193" w:type="dxa"/>
            <w:noWrap/>
            <w:vAlign w:val="bottom"/>
            <w:hideMark/>
          </w:tcPr>
          <w:p w14:paraId="1ACDAA75"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0,005</w:t>
            </w:r>
          </w:p>
        </w:tc>
        <w:tc>
          <w:tcPr>
            <w:tcW w:w="992" w:type="dxa"/>
            <w:noWrap/>
            <w:vAlign w:val="bottom"/>
            <w:hideMark/>
          </w:tcPr>
          <w:p w14:paraId="5F11082B" w14:textId="77777777" w:rsidR="00E80ADC" w:rsidRPr="00C851D8" w:rsidRDefault="00E80ADC" w:rsidP="00E64253">
            <w:pPr>
              <w:jc w:val="right"/>
              <w:rPr>
                <w:rFonts w:ascii="Calibri" w:hAnsi="Calibri"/>
                <w:sz w:val="18"/>
                <w:szCs w:val="18"/>
              </w:rPr>
            </w:pPr>
            <w:r w:rsidRPr="00C851D8">
              <w:rPr>
                <w:rFonts w:ascii="Calibri" w:hAnsi="Calibri"/>
                <w:sz w:val="18"/>
                <w:szCs w:val="18"/>
              </w:rPr>
              <w:t>472,614</w:t>
            </w:r>
          </w:p>
        </w:tc>
        <w:tc>
          <w:tcPr>
            <w:tcW w:w="1276" w:type="dxa"/>
            <w:noWrap/>
            <w:vAlign w:val="bottom"/>
            <w:hideMark/>
          </w:tcPr>
          <w:p w14:paraId="2B734645"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0,008</w:t>
            </w:r>
          </w:p>
        </w:tc>
      </w:tr>
      <w:tr w:rsidR="00E80ADC" w:rsidRPr="002A729A" w14:paraId="2C89040A" w14:textId="77777777" w:rsidTr="0087586D">
        <w:trPr>
          <w:trHeight w:val="300"/>
        </w:trPr>
        <w:tc>
          <w:tcPr>
            <w:tcW w:w="3227" w:type="dxa"/>
            <w:vMerge/>
            <w:shd w:val="clear" w:color="auto" w:fill="FFFFFF" w:themeFill="background1"/>
            <w:noWrap/>
            <w:hideMark/>
          </w:tcPr>
          <w:p w14:paraId="5259E514" w14:textId="77777777" w:rsidR="00E80ADC" w:rsidRPr="00C851D8" w:rsidRDefault="00E80ADC" w:rsidP="00E64253">
            <w:pPr>
              <w:rPr>
                <w:b/>
                <w:sz w:val="18"/>
                <w:szCs w:val="18"/>
              </w:rPr>
            </w:pPr>
          </w:p>
        </w:tc>
        <w:tc>
          <w:tcPr>
            <w:tcW w:w="10773" w:type="dxa"/>
            <w:gridSpan w:val="10"/>
            <w:noWrap/>
            <w:vAlign w:val="bottom"/>
            <w:hideMark/>
          </w:tcPr>
          <w:p w14:paraId="5DB60FCD" w14:textId="77777777" w:rsidR="00E80ADC" w:rsidRPr="00C851D8" w:rsidRDefault="00E80ADC" w:rsidP="00E64253">
            <w:pPr>
              <w:jc w:val="center"/>
              <w:rPr>
                <w:rFonts w:ascii="Calibri" w:hAnsi="Calibri"/>
                <w:b/>
                <w:sz w:val="18"/>
                <w:szCs w:val="18"/>
                <w:lang w:val="en-GB"/>
              </w:rPr>
            </w:pPr>
            <w:r w:rsidRPr="00C851D8">
              <w:rPr>
                <w:rFonts w:ascii="Calibri" w:hAnsi="Calibri"/>
                <w:b/>
                <w:sz w:val="18"/>
                <w:szCs w:val="18"/>
                <w:lang w:val="en-GB"/>
              </w:rPr>
              <w:t xml:space="preserve">Reference (pmol/L): </w:t>
            </w:r>
            <w:r>
              <w:rPr>
                <w:rFonts w:ascii="Calibri" w:hAnsi="Calibri"/>
                <w:b/>
                <w:sz w:val="18"/>
                <w:szCs w:val="18"/>
                <w:lang w:val="en-GB"/>
              </w:rPr>
              <w:t>M:</w:t>
            </w:r>
            <w:r w:rsidRPr="00C851D8">
              <w:rPr>
                <w:rFonts w:ascii="Calibri" w:hAnsi="Calibri"/>
                <w:b/>
                <w:sz w:val="18"/>
                <w:szCs w:val="18"/>
                <w:lang w:val="en-GB"/>
              </w:rPr>
              <w:t xml:space="preserve"> 208.2-867.5, F: 0.694-22.208</w:t>
            </w:r>
          </w:p>
        </w:tc>
      </w:tr>
      <w:tr w:rsidR="00E80ADC" w:rsidRPr="00C851D8" w14:paraId="7BFAB676" w14:textId="77777777" w:rsidTr="0087586D">
        <w:trPr>
          <w:trHeight w:val="300"/>
        </w:trPr>
        <w:tc>
          <w:tcPr>
            <w:tcW w:w="3227" w:type="dxa"/>
            <w:vMerge w:val="restart"/>
            <w:shd w:val="clear" w:color="auto" w:fill="FFFFFF" w:themeFill="background1"/>
            <w:noWrap/>
            <w:hideMark/>
          </w:tcPr>
          <w:p w14:paraId="1F6CC1EF" w14:textId="02795A71" w:rsidR="00E80ADC" w:rsidRPr="00FD0654" w:rsidRDefault="00E80ADC" w:rsidP="00E64253">
            <w:pPr>
              <w:rPr>
                <w:b/>
                <w:sz w:val="18"/>
                <w:szCs w:val="18"/>
                <w:lang w:val="en-GB"/>
              </w:rPr>
            </w:pPr>
            <w:r w:rsidRPr="00FD0654">
              <w:rPr>
                <w:b/>
                <w:sz w:val="18"/>
                <w:szCs w:val="18"/>
                <w:lang w:val="en-GB"/>
              </w:rPr>
              <w:t>Anti-Müllerian Hormone</w:t>
            </w:r>
            <w:r w:rsidR="007A7B24">
              <w:rPr>
                <w:b/>
                <w:sz w:val="18"/>
                <w:szCs w:val="18"/>
                <w:lang w:val="en-GB"/>
              </w:rPr>
              <w:t xml:space="preserve"> (pmol/L)</w:t>
            </w:r>
          </w:p>
          <w:p w14:paraId="2A58C08C" w14:textId="77777777" w:rsidR="00E80ADC" w:rsidRPr="00C851D8" w:rsidRDefault="00E80ADC" w:rsidP="00E64253">
            <w:pPr>
              <w:rPr>
                <w:b/>
                <w:sz w:val="18"/>
                <w:szCs w:val="18"/>
                <w:lang w:val="en-GB"/>
              </w:rPr>
            </w:pPr>
            <w:r w:rsidRPr="00C851D8">
              <w:rPr>
                <w:sz w:val="16"/>
                <w:szCs w:val="16"/>
                <w:lang w:val="en-GB"/>
              </w:rPr>
              <w:t>Enzyme linked immunosorbent assay (Beckman Coulter Company) until 2/2015, thereafter Electro-chemoluminescence assay (Roche Diagnostics E170 Modular)</w:t>
            </w:r>
          </w:p>
        </w:tc>
        <w:tc>
          <w:tcPr>
            <w:tcW w:w="1044" w:type="dxa"/>
            <w:noWrap/>
            <w:vAlign w:val="bottom"/>
            <w:hideMark/>
          </w:tcPr>
          <w:p w14:paraId="29DF82B8" w14:textId="77777777" w:rsidR="00E80ADC" w:rsidRPr="00C851D8" w:rsidRDefault="00E80ADC" w:rsidP="00E64253">
            <w:pPr>
              <w:jc w:val="right"/>
              <w:rPr>
                <w:rFonts w:ascii="Calibri" w:hAnsi="Calibri"/>
                <w:sz w:val="18"/>
                <w:szCs w:val="18"/>
              </w:rPr>
            </w:pPr>
            <w:r w:rsidRPr="00C851D8">
              <w:rPr>
                <w:rFonts w:ascii="Calibri" w:hAnsi="Calibri"/>
                <w:sz w:val="18"/>
                <w:szCs w:val="18"/>
              </w:rPr>
              <w:t>33,214</w:t>
            </w:r>
          </w:p>
        </w:tc>
        <w:tc>
          <w:tcPr>
            <w:tcW w:w="1045" w:type="dxa"/>
            <w:noWrap/>
            <w:vAlign w:val="bottom"/>
            <w:hideMark/>
          </w:tcPr>
          <w:p w14:paraId="7EA687BC" w14:textId="77777777" w:rsidR="00E80ADC" w:rsidRPr="00C851D8" w:rsidRDefault="00E80ADC" w:rsidP="00E64253">
            <w:pPr>
              <w:jc w:val="right"/>
              <w:rPr>
                <w:rFonts w:ascii="Calibri" w:hAnsi="Calibri"/>
                <w:sz w:val="18"/>
                <w:szCs w:val="18"/>
              </w:rPr>
            </w:pPr>
            <w:r w:rsidRPr="00C851D8">
              <w:rPr>
                <w:rFonts w:ascii="Calibri" w:hAnsi="Calibri"/>
                <w:sz w:val="18"/>
                <w:szCs w:val="18"/>
              </w:rPr>
              <w:t>25,714</w:t>
            </w:r>
          </w:p>
        </w:tc>
        <w:tc>
          <w:tcPr>
            <w:tcW w:w="1045" w:type="dxa"/>
            <w:noWrap/>
            <w:vAlign w:val="bottom"/>
            <w:hideMark/>
          </w:tcPr>
          <w:p w14:paraId="55B22EA8"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0,066</w:t>
            </w:r>
          </w:p>
        </w:tc>
        <w:tc>
          <w:tcPr>
            <w:tcW w:w="1044" w:type="dxa"/>
            <w:noWrap/>
            <w:vAlign w:val="bottom"/>
            <w:hideMark/>
          </w:tcPr>
          <w:p w14:paraId="2FB4CA82" w14:textId="77777777" w:rsidR="00E80ADC" w:rsidRPr="00C851D8" w:rsidRDefault="00E80ADC" w:rsidP="00E64253">
            <w:pPr>
              <w:jc w:val="right"/>
              <w:rPr>
                <w:rFonts w:ascii="Calibri" w:hAnsi="Calibri"/>
                <w:sz w:val="18"/>
                <w:szCs w:val="18"/>
              </w:rPr>
            </w:pPr>
            <w:r w:rsidRPr="00C851D8">
              <w:rPr>
                <w:rFonts w:ascii="Calibri" w:hAnsi="Calibri"/>
                <w:sz w:val="18"/>
                <w:szCs w:val="18"/>
              </w:rPr>
              <w:t>24,000</w:t>
            </w:r>
          </w:p>
        </w:tc>
        <w:tc>
          <w:tcPr>
            <w:tcW w:w="1045" w:type="dxa"/>
            <w:noWrap/>
            <w:vAlign w:val="bottom"/>
            <w:hideMark/>
          </w:tcPr>
          <w:p w14:paraId="45C9B125"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0,423</w:t>
            </w:r>
          </w:p>
        </w:tc>
        <w:tc>
          <w:tcPr>
            <w:tcW w:w="1045" w:type="dxa"/>
            <w:noWrap/>
            <w:vAlign w:val="bottom"/>
            <w:hideMark/>
          </w:tcPr>
          <w:p w14:paraId="659DC310" w14:textId="77777777" w:rsidR="00E80ADC" w:rsidRPr="00C851D8" w:rsidRDefault="00E80ADC" w:rsidP="00E64253">
            <w:pPr>
              <w:jc w:val="right"/>
              <w:rPr>
                <w:rFonts w:ascii="Calibri" w:hAnsi="Calibri"/>
                <w:sz w:val="18"/>
                <w:szCs w:val="18"/>
              </w:rPr>
            </w:pPr>
            <w:r w:rsidRPr="00C851D8">
              <w:rPr>
                <w:rFonts w:ascii="Calibri" w:hAnsi="Calibri"/>
                <w:sz w:val="18"/>
                <w:szCs w:val="18"/>
              </w:rPr>
              <w:t>24,357</w:t>
            </w:r>
          </w:p>
        </w:tc>
        <w:tc>
          <w:tcPr>
            <w:tcW w:w="1044" w:type="dxa"/>
            <w:noWrap/>
            <w:vAlign w:val="bottom"/>
            <w:hideMark/>
          </w:tcPr>
          <w:p w14:paraId="705128DB" w14:textId="77777777" w:rsidR="00E80ADC" w:rsidRPr="00C851D8" w:rsidRDefault="00E80ADC" w:rsidP="00E64253">
            <w:pPr>
              <w:jc w:val="right"/>
              <w:rPr>
                <w:rFonts w:ascii="Calibri" w:hAnsi="Calibri"/>
                <w:sz w:val="18"/>
                <w:szCs w:val="18"/>
              </w:rPr>
            </w:pPr>
            <w:r w:rsidRPr="00C851D8">
              <w:rPr>
                <w:rFonts w:ascii="Calibri" w:hAnsi="Calibri"/>
                <w:sz w:val="18"/>
                <w:szCs w:val="18"/>
              </w:rPr>
              <w:t>28,429</w:t>
            </w:r>
          </w:p>
        </w:tc>
        <w:tc>
          <w:tcPr>
            <w:tcW w:w="1193" w:type="dxa"/>
            <w:noWrap/>
            <w:vAlign w:val="bottom"/>
            <w:hideMark/>
          </w:tcPr>
          <w:p w14:paraId="749956E9"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0,18</w:t>
            </w:r>
          </w:p>
        </w:tc>
        <w:tc>
          <w:tcPr>
            <w:tcW w:w="992" w:type="dxa"/>
            <w:noWrap/>
            <w:vAlign w:val="bottom"/>
            <w:hideMark/>
          </w:tcPr>
          <w:p w14:paraId="39A82480" w14:textId="77777777" w:rsidR="00E80ADC" w:rsidRPr="00C851D8" w:rsidRDefault="00E80ADC" w:rsidP="00E64253">
            <w:pPr>
              <w:jc w:val="right"/>
              <w:rPr>
                <w:rFonts w:ascii="Calibri" w:hAnsi="Calibri"/>
                <w:sz w:val="18"/>
                <w:szCs w:val="18"/>
              </w:rPr>
            </w:pPr>
            <w:r w:rsidRPr="00C851D8">
              <w:rPr>
                <w:rFonts w:ascii="Calibri" w:hAnsi="Calibri"/>
                <w:sz w:val="18"/>
                <w:szCs w:val="18"/>
              </w:rPr>
              <w:t>27,072</w:t>
            </w:r>
          </w:p>
        </w:tc>
        <w:tc>
          <w:tcPr>
            <w:tcW w:w="1276" w:type="dxa"/>
            <w:noWrap/>
            <w:vAlign w:val="bottom"/>
            <w:hideMark/>
          </w:tcPr>
          <w:p w14:paraId="028D2615" w14:textId="77777777" w:rsidR="00E80ADC" w:rsidRPr="00C851D8" w:rsidRDefault="00E80ADC" w:rsidP="00E64253">
            <w:pPr>
              <w:jc w:val="right"/>
              <w:rPr>
                <w:rFonts w:ascii="Calibri" w:hAnsi="Calibri"/>
                <w:b/>
                <w:sz w:val="18"/>
                <w:szCs w:val="18"/>
              </w:rPr>
            </w:pPr>
            <w:r w:rsidRPr="00C851D8">
              <w:rPr>
                <w:rFonts w:ascii="Calibri" w:hAnsi="Calibri"/>
                <w:b/>
                <w:sz w:val="18"/>
                <w:szCs w:val="18"/>
              </w:rPr>
              <w:t>0,575</w:t>
            </w:r>
          </w:p>
        </w:tc>
      </w:tr>
      <w:tr w:rsidR="00E80ADC" w:rsidRPr="002A729A" w14:paraId="3B6F48FE" w14:textId="77777777" w:rsidTr="0087586D">
        <w:trPr>
          <w:trHeight w:val="300"/>
        </w:trPr>
        <w:tc>
          <w:tcPr>
            <w:tcW w:w="3227" w:type="dxa"/>
            <w:vMerge/>
            <w:shd w:val="clear" w:color="auto" w:fill="FFFFFF" w:themeFill="background1"/>
            <w:noWrap/>
            <w:hideMark/>
          </w:tcPr>
          <w:p w14:paraId="5C36CDF8" w14:textId="77777777" w:rsidR="00E80ADC" w:rsidRPr="00C851D8" w:rsidRDefault="00E80ADC" w:rsidP="00E64253">
            <w:pPr>
              <w:rPr>
                <w:b/>
                <w:sz w:val="18"/>
                <w:szCs w:val="18"/>
              </w:rPr>
            </w:pPr>
          </w:p>
        </w:tc>
        <w:tc>
          <w:tcPr>
            <w:tcW w:w="10773" w:type="dxa"/>
            <w:gridSpan w:val="10"/>
            <w:noWrap/>
            <w:vAlign w:val="bottom"/>
            <w:hideMark/>
          </w:tcPr>
          <w:p w14:paraId="3D8892AA" w14:textId="77777777" w:rsidR="00E80ADC" w:rsidRPr="00C851D8" w:rsidRDefault="00E80ADC" w:rsidP="00E64253">
            <w:pPr>
              <w:jc w:val="center"/>
              <w:rPr>
                <w:rFonts w:ascii="Calibri" w:hAnsi="Calibri"/>
                <w:b/>
                <w:sz w:val="18"/>
                <w:szCs w:val="18"/>
                <w:lang w:val="en-GB"/>
              </w:rPr>
            </w:pPr>
            <w:r w:rsidRPr="00C851D8">
              <w:rPr>
                <w:rFonts w:ascii="Calibri" w:hAnsi="Calibri"/>
                <w:b/>
                <w:sz w:val="18"/>
                <w:szCs w:val="18"/>
                <w:lang w:val="en-GB"/>
              </w:rPr>
              <w:t xml:space="preserve">Reference (pmol/L): </w:t>
            </w:r>
            <w:r>
              <w:rPr>
                <w:rFonts w:ascii="Calibri" w:hAnsi="Calibri"/>
                <w:b/>
                <w:sz w:val="18"/>
                <w:szCs w:val="18"/>
                <w:lang w:val="en-GB"/>
              </w:rPr>
              <w:t>M</w:t>
            </w:r>
            <w:r w:rsidRPr="00C851D8">
              <w:rPr>
                <w:rFonts w:ascii="Calibri" w:hAnsi="Calibri"/>
                <w:b/>
                <w:sz w:val="18"/>
                <w:szCs w:val="18"/>
                <w:lang w:val="en-GB"/>
              </w:rPr>
              <w:t xml:space="preserve"> 6-20y 11.429-1028.578 (Tanner), F 8-20y: 4.7143-60.143</w:t>
            </w:r>
          </w:p>
        </w:tc>
      </w:tr>
    </w:tbl>
    <w:p w14:paraId="37500BD2" w14:textId="71476555" w:rsidR="00E80ADC" w:rsidRDefault="00E80ADC" w:rsidP="00F45E4F">
      <w:pPr>
        <w:jc w:val="both"/>
        <w:rPr>
          <w:sz w:val="18"/>
          <w:szCs w:val="18"/>
          <w:lang w:val="en-GB"/>
        </w:rPr>
      </w:pPr>
      <w:r w:rsidRPr="00901F8D">
        <w:rPr>
          <w:sz w:val="18"/>
          <w:szCs w:val="18"/>
          <w:lang w:val="en-GB"/>
        </w:rPr>
        <w:t>First column</w:t>
      </w:r>
      <w:r>
        <w:rPr>
          <w:sz w:val="18"/>
          <w:szCs w:val="18"/>
          <w:lang w:val="en-GB"/>
        </w:rPr>
        <w:t xml:space="preserve">: biochemical parameters </w:t>
      </w:r>
      <w:r w:rsidRPr="00F93743">
        <w:rPr>
          <w:sz w:val="18"/>
          <w:szCs w:val="18"/>
          <w:lang w:val="en-GB"/>
        </w:rPr>
        <w:t>in SI units</w:t>
      </w:r>
      <w:r w:rsidR="00C24208">
        <w:rPr>
          <w:sz w:val="18"/>
          <w:szCs w:val="18"/>
          <w:lang w:val="en-GB"/>
        </w:rPr>
        <w:t xml:space="preserve">; </w:t>
      </w:r>
      <w:r>
        <w:rPr>
          <w:sz w:val="18"/>
          <w:szCs w:val="18"/>
          <w:lang w:val="en-GB"/>
        </w:rPr>
        <w:t>L0: mean</w:t>
      </w:r>
      <w:r w:rsidRPr="00901F8D">
        <w:rPr>
          <w:sz w:val="18"/>
          <w:szCs w:val="18"/>
          <w:lang w:val="en-GB"/>
        </w:rPr>
        <w:t xml:space="preserve"> values befo</w:t>
      </w:r>
      <w:r>
        <w:rPr>
          <w:sz w:val="18"/>
          <w:szCs w:val="18"/>
          <w:lang w:val="en-GB"/>
        </w:rPr>
        <w:t>re initiation of L; L6m: mean</w:t>
      </w:r>
      <w:r w:rsidRPr="00901F8D">
        <w:rPr>
          <w:sz w:val="18"/>
          <w:szCs w:val="18"/>
          <w:lang w:val="en-GB"/>
        </w:rPr>
        <w:t xml:space="preserve"> values after six months of L; P(L0-6m): P-values </w:t>
      </w:r>
      <w:r w:rsidR="003D29B1">
        <w:rPr>
          <w:sz w:val="18"/>
          <w:szCs w:val="18"/>
          <w:lang w:val="en-GB"/>
        </w:rPr>
        <w:t>for</w:t>
      </w:r>
      <w:r w:rsidRPr="00901F8D">
        <w:rPr>
          <w:sz w:val="18"/>
          <w:szCs w:val="18"/>
          <w:lang w:val="en-GB"/>
        </w:rPr>
        <w:t xml:space="preserve"> comparison of baseline parameters with values after six months of L; L12m: </w:t>
      </w:r>
      <w:r>
        <w:rPr>
          <w:sz w:val="18"/>
          <w:szCs w:val="18"/>
          <w:lang w:val="en-GB"/>
        </w:rPr>
        <w:t>mean</w:t>
      </w:r>
      <w:r w:rsidRPr="00901F8D">
        <w:rPr>
          <w:sz w:val="18"/>
          <w:szCs w:val="18"/>
          <w:lang w:val="en-GB"/>
        </w:rPr>
        <w:t xml:space="preserve"> values after twelve months of L; P(L0-12m): P-values </w:t>
      </w:r>
      <w:r w:rsidR="003D29B1">
        <w:rPr>
          <w:sz w:val="18"/>
          <w:szCs w:val="18"/>
          <w:lang w:val="en-GB"/>
        </w:rPr>
        <w:t>for</w:t>
      </w:r>
      <w:r w:rsidR="003D29B1" w:rsidRPr="00901F8D">
        <w:rPr>
          <w:sz w:val="18"/>
          <w:szCs w:val="18"/>
          <w:lang w:val="en-GB"/>
        </w:rPr>
        <w:t xml:space="preserve"> </w:t>
      </w:r>
      <w:r w:rsidRPr="00901F8D">
        <w:rPr>
          <w:sz w:val="18"/>
          <w:szCs w:val="18"/>
          <w:lang w:val="en-GB"/>
        </w:rPr>
        <w:t>comparison of baseline parameters with values after twelve months of L; L+T</w:t>
      </w:r>
      <w:r w:rsidR="000219E4">
        <w:rPr>
          <w:sz w:val="18"/>
          <w:szCs w:val="18"/>
          <w:lang w:val="en-GB"/>
        </w:rPr>
        <w:t>E</w:t>
      </w:r>
      <w:r w:rsidRPr="00901F8D">
        <w:rPr>
          <w:sz w:val="18"/>
          <w:szCs w:val="18"/>
          <w:lang w:val="en-GB"/>
        </w:rPr>
        <w:t xml:space="preserve">0: </w:t>
      </w:r>
      <w:r>
        <w:rPr>
          <w:sz w:val="18"/>
          <w:szCs w:val="18"/>
          <w:lang w:val="en-GB"/>
        </w:rPr>
        <w:t>mean</w:t>
      </w:r>
      <w:r w:rsidRPr="00901F8D">
        <w:rPr>
          <w:sz w:val="18"/>
          <w:szCs w:val="18"/>
          <w:lang w:val="en-GB"/>
        </w:rPr>
        <w:t xml:space="preserve"> values before initiation of L+T</w:t>
      </w:r>
      <w:r w:rsidR="006E34C2">
        <w:rPr>
          <w:sz w:val="18"/>
          <w:szCs w:val="18"/>
          <w:lang w:val="en-GB"/>
        </w:rPr>
        <w:t>E</w:t>
      </w:r>
      <w:r w:rsidRPr="00901F8D">
        <w:rPr>
          <w:sz w:val="18"/>
          <w:szCs w:val="18"/>
          <w:lang w:val="en-GB"/>
        </w:rPr>
        <w:t>; L+T</w:t>
      </w:r>
      <w:r w:rsidR="000219E4">
        <w:rPr>
          <w:sz w:val="18"/>
          <w:szCs w:val="18"/>
          <w:lang w:val="en-GB"/>
        </w:rPr>
        <w:t>E</w:t>
      </w:r>
      <w:r w:rsidRPr="00901F8D">
        <w:rPr>
          <w:sz w:val="18"/>
          <w:szCs w:val="18"/>
          <w:lang w:val="en-GB"/>
        </w:rPr>
        <w:t xml:space="preserve">6m: </w:t>
      </w:r>
      <w:r>
        <w:rPr>
          <w:sz w:val="18"/>
          <w:szCs w:val="18"/>
          <w:lang w:val="en-GB"/>
        </w:rPr>
        <w:t>mean</w:t>
      </w:r>
      <w:r w:rsidRPr="00901F8D">
        <w:rPr>
          <w:sz w:val="18"/>
          <w:szCs w:val="18"/>
          <w:lang w:val="en-GB"/>
        </w:rPr>
        <w:t xml:space="preserve"> values after six months of L+T</w:t>
      </w:r>
      <w:r w:rsidR="006E34C2">
        <w:rPr>
          <w:sz w:val="18"/>
          <w:szCs w:val="18"/>
          <w:lang w:val="en-GB"/>
        </w:rPr>
        <w:t>E</w:t>
      </w:r>
      <w:r w:rsidRPr="00901F8D">
        <w:rPr>
          <w:sz w:val="18"/>
          <w:szCs w:val="18"/>
          <w:lang w:val="en-GB"/>
        </w:rPr>
        <w:t>; P(L+T</w:t>
      </w:r>
      <w:r w:rsidR="006E34C2">
        <w:rPr>
          <w:sz w:val="18"/>
          <w:szCs w:val="18"/>
          <w:lang w:val="en-GB"/>
        </w:rPr>
        <w:t>E</w:t>
      </w:r>
      <w:r w:rsidRPr="00901F8D">
        <w:rPr>
          <w:sz w:val="18"/>
          <w:szCs w:val="18"/>
          <w:lang w:val="en-GB"/>
        </w:rPr>
        <w:t xml:space="preserve">0-6m): P-values </w:t>
      </w:r>
      <w:r w:rsidR="003D29B1">
        <w:rPr>
          <w:sz w:val="18"/>
          <w:szCs w:val="18"/>
          <w:lang w:val="en-GB"/>
        </w:rPr>
        <w:t>for</w:t>
      </w:r>
      <w:r w:rsidR="003D29B1" w:rsidRPr="00901F8D">
        <w:rPr>
          <w:sz w:val="18"/>
          <w:szCs w:val="18"/>
          <w:lang w:val="en-GB"/>
        </w:rPr>
        <w:t xml:space="preserve"> </w:t>
      </w:r>
      <w:r w:rsidRPr="00901F8D">
        <w:rPr>
          <w:sz w:val="18"/>
          <w:szCs w:val="18"/>
          <w:lang w:val="en-GB"/>
        </w:rPr>
        <w:t>comparison of baseline parameters with values after six months of L+T</w:t>
      </w:r>
      <w:r w:rsidR="000219E4">
        <w:rPr>
          <w:sz w:val="18"/>
          <w:szCs w:val="18"/>
          <w:lang w:val="en-GB"/>
        </w:rPr>
        <w:t>E</w:t>
      </w:r>
      <w:r w:rsidRPr="00901F8D">
        <w:rPr>
          <w:sz w:val="18"/>
          <w:szCs w:val="18"/>
          <w:lang w:val="en-GB"/>
        </w:rPr>
        <w:t>; L+T</w:t>
      </w:r>
      <w:r w:rsidR="000219E4">
        <w:rPr>
          <w:sz w:val="18"/>
          <w:szCs w:val="18"/>
          <w:lang w:val="en-GB"/>
        </w:rPr>
        <w:t>E</w:t>
      </w:r>
      <w:r w:rsidRPr="00901F8D">
        <w:rPr>
          <w:sz w:val="18"/>
          <w:szCs w:val="18"/>
          <w:lang w:val="en-GB"/>
        </w:rPr>
        <w:t xml:space="preserve">12m: </w:t>
      </w:r>
      <w:r>
        <w:rPr>
          <w:sz w:val="18"/>
          <w:szCs w:val="18"/>
          <w:lang w:val="en-GB"/>
        </w:rPr>
        <w:t>mean</w:t>
      </w:r>
      <w:r w:rsidRPr="00901F8D">
        <w:rPr>
          <w:sz w:val="18"/>
          <w:szCs w:val="18"/>
          <w:lang w:val="en-GB"/>
        </w:rPr>
        <w:t xml:space="preserve"> values after twelve months of L+T</w:t>
      </w:r>
      <w:r w:rsidR="000219E4">
        <w:rPr>
          <w:sz w:val="18"/>
          <w:szCs w:val="18"/>
          <w:lang w:val="en-GB"/>
        </w:rPr>
        <w:t>E</w:t>
      </w:r>
      <w:r w:rsidRPr="00901F8D">
        <w:rPr>
          <w:sz w:val="18"/>
          <w:szCs w:val="18"/>
          <w:lang w:val="en-GB"/>
        </w:rPr>
        <w:t>; P(L+T</w:t>
      </w:r>
      <w:r w:rsidR="000219E4">
        <w:rPr>
          <w:sz w:val="18"/>
          <w:szCs w:val="18"/>
          <w:lang w:val="en-GB"/>
        </w:rPr>
        <w:t>E</w:t>
      </w:r>
      <w:r w:rsidRPr="00901F8D">
        <w:rPr>
          <w:sz w:val="18"/>
          <w:szCs w:val="18"/>
          <w:lang w:val="en-GB"/>
        </w:rPr>
        <w:t xml:space="preserve">0-12m): P-values </w:t>
      </w:r>
      <w:r w:rsidR="003D29B1">
        <w:rPr>
          <w:sz w:val="18"/>
          <w:szCs w:val="18"/>
          <w:lang w:val="en-GB"/>
        </w:rPr>
        <w:t>for</w:t>
      </w:r>
      <w:r w:rsidR="003D29B1" w:rsidRPr="00901F8D">
        <w:rPr>
          <w:sz w:val="18"/>
          <w:szCs w:val="18"/>
          <w:lang w:val="en-GB"/>
        </w:rPr>
        <w:t xml:space="preserve"> </w:t>
      </w:r>
      <w:r w:rsidRPr="00901F8D">
        <w:rPr>
          <w:sz w:val="18"/>
          <w:szCs w:val="18"/>
          <w:lang w:val="en-GB"/>
        </w:rPr>
        <w:t>comparison of baseline parameters with values after twelve months of L+T</w:t>
      </w:r>
      <w:r w:rsidR="000219E4">
        <w:rPr>
          <w:sz w:val="18"/>
          <w:szCs w:val="18"/>
          <w:lang w:val="en-GB"/>
        </w:rPr>
        <w:t>E</w:t>
      </w:r>
      <w:r w:rsidRPr="00901F8D">
        <w:rPr>
          <w:sz w:val="18"/>
          <w:szCs w:val="18"/>
          <w:lang w:val="en-GB"/>
        </w:rPr>
        <w:t>.</w:t>
      </w:r>
      <w:r>
        <w:rPr>
          <w:sz w:val="18"/>
          <w:szCs w:val="18"/>
          <w:lang w:val="en-GB"/>
        </w:rPr>
        <w:t xml:space="preserve"> NA: not available due to insufficient data. L: lynestrenol monotherapy; L+T</w:t>
      </w:r>
      <w:r w:rsidR="000219E4">
        <w:rPr>
          <w:sz w:val="18"/>
          <w:szCs w:val="18"/>
          <w:lang w:val="en-GB"/>
        </w:rPr>
        <w:t>E</w:t>
      </w:r>
      <w:r>
        <w:rPr>
          <w:sz w:val="18"/>
          <w:szCs w:val="18"/>
          <w:lang w:val="en-GB"/>
        </w:rPr>
        <w:t xml:space="preserve">: lynestrenol and testosterone esters combination therapy. </w:t>
      </w:r>
      <w:r w:rsidRPr="002403F7">
        <w:rPr>
          <w:sz w:val="18"/>
          <w:szCs w:val="18"/>
          <w:lang w:val="en-GB"/>
        </w:rPr>
        <w:t>M: male reference, F: female reference.</w:t>
      </w:r>
      <w:r>
        <w:rPr>
          <w:sz w:val="18"/>
          <w:szCs w:val="18"/>
          <w:lang w:val="en-GB"/>
        </w:rPr>
        <w:t xml:space="preserve"> Y: years old.</w:t>
      </w:r>
      <w:r w:rsidRPr="002403F7">
        <w:rPr>
          <w:sz w:val="18"/>
          <w:szCs w:val="18"/>
          <w:lang w:val="en-GB"/>
        </w:rPr>
        <w:t xml:space="preserve"> Cycle dependant: different reference </w:t>
      </w:r>
      <w:r>
        <w:rPr>
          <w:sz w:val="18"/>
          <w:szCs w:val="18"/>
          <w:lang w:val="en-GB"/>
        </w:rPr>
        <w:t xml:space="preserve">ranges </w:t>
      </w:r>
      <w:r w:rsidRPr="002403F7">
        <w:rPr>
          <w:sz w:val="18"/>
          <w:szCs w:val="18"/>
          <w:lang w:val="en-GB"/>
        </w:rPr>
        <w:t xml:space="preserve">according to different stages of menstrual cycle (maximum upper and lower limit of all cycle stages are represented), Tanner: different reference </w:t>
      </w:r>
      <w:r>
        <w:rPr>
          <w:sz w:val="18"/>
          <w:szCs w:val="18"/>
          <w:lang w:val="en-GB"/>
        </w:rPr>
        <w:t xml:space="preserve">ranges </w:t>
      </w:r>
      <w:r w:rsidRPr="002403F7">
        <w:rPr>
          <w:sz w:val="18"/>
          <w:szCs w:val="18"/>
          <w:lang w:val="en-GB"/>
        </w:rPr>
        <w:t>according to different Tanner stages (maximum upper and lower limit of all Tanner stages are represented)</w:t>
      </w:r>
      <w:r>
        <w:rPr>
          <w:sz w:val="18"/>
          <w:szCs w:val="18"/>
          <w:lang w:val="en-GB"/>
        </w:rPr>
        <w:t>.</w:t>
      </w:r>
    </w:p>
    <w:p w14:paraId="516EADEB" w14:textId="77777777" w:rsidR="00E80ADC" w:rsidRDefault="00742AB9">
      <w:pPr>
        <w:rPr>
          <w:lang w:val="en-GB"/>
        </w:rPr>
        <w:sectPr w:rsidR="00E80ADC" w:rsidSect="00E80ADC">
          <w:pgSz w:w="16838" w:h="11906" w:orient="landscape"/>
          <w:pgMar w:top="1417" w:right="1417" w:bottom="1417" w:left="1417" w:header="708" w:footer="708" w:gutter="0"/>
          <w:cols w:space="708"/>
          <w:docGrid w:linePitch="360"/>
        </w:sectPr>
      </w:pPr>
      <w:r>
        <w:rPr>
          <w:lang w:val="en-GB"/>
        </w:rPr>
        <w:br w:type="page"/>
      </w:r>
    </w:p>
    <w:p w14:paraId="605FF51D" w14:textId="3CFFBDA8" w:rsidR="000146E7" w:rsidRDefault="007B0A1B" w:rsidP="00C942CA">
      <w:pPr>
        <w:pStyle w:val="Kop2"/>
        <w:rPr>
          <w:lang w:val="en-GB"/>
        </w:rPr>
      </w:pPr>
      <w:bookmarkStart w:id="43" w:name="_Toc451961499"/>
      <w:r>
        <w:rPr>
          <w:lang w:val="en-GB"/>
        </w:rPr>
        <w:lastRenderedPageBreak/>
        <w:t>Cyproterone acetate in male to female adolescents</w:t>
      </w:r>
      <w:bookmarkEnd w:id="43"/>
    </w:p>
    <w:p w14:paraId="5C4B44C2" w14:textId="7616A6A6" w:rsidR="000146E7" w:rsidRPr="00CE715D" w:rsidRDefault="000146E7" w:rsidP="00C942CA">
      <w:pPr>
        <w:pStyle w:val="Kop3"/>
        <w:rPr>
          <w:lang w:val="en-GB"/>
        </w:rPr>
      </w:pPr>
      <w:bookmarkStart w:id="44" w:name="_Toc451961500"/>
      <w:r w:rsidRPr="00CE715D">
        <w:rPr>
          <w:lang w:val="en-GB"/>
        </w:rPr>
        <w:t>Patient</w:t>
      </w:r>
      <w:r w:rsidR="005431A2">
        <w:rPr>
          <w:lang w:val="en-GB"/>
        </w:rPr>
        <w:t>s</w:t>
      </w:r>
      <w:r w:rsidRPr="00CE715D">
        <w:rPr>
          <w:lang w:val="en-GB"/>
        </w:rPr>
        <w:t xml:space="preserve"> and treatment characteristics</w:t>
      </w:r>
      <w:bookmarkEnd w:id="44"/>
    </w:p>
    <w:p w14:paraId="4E999D8B" w14:textId="3D06F269" w:rsidR="000146E7" w:rsidRPr="00CE715D" w:rsidRDefault="000146E7" w:rsidP="00F45E4F">
      <w:pPr>
        <w:spacing w:after="0"/>
        <w:jc w:val="both"/>
        <w:rPr>
          <w:bCs/>
          <w:lang w:val="en-GB"/>
        </w:rPr>
      </w:pPr>
      <w:r w:rsidRPr="00CE715D">
        <w:rPr>
          <w:bCs/>
          <w:lang w:val="en-GB"/>
        </w:rPr>
        <w:t>Data on educational level, comorbidities, and lifestyle characteri</w:t>
      </w:r>
      <w:r>
        <w:rPr>
          <w:bCs/>
          <w:lang w:val="en-GB"/>
        </w:rPr>
        <w:t xml:space="preserve">stics are represented in Table </w:t>
      </w:r>
      <w:r w:rsidR="00A44497">
        <w:rPr>
          <w:bCs/>
          <w:lang w:val="en-GB"/>
        </w:rPr>
        <w:t>7</w:t>
      </w:r>
      <w:r w:rsidRPr="00CE715D">
        <w:rPr>
          <w:bCs/>
          <w:lang w:val="en-GB"/>
        </w:rPr>
        <w:t xml:space="preserve">. </w:t>
      </w:r>
    </w:p>
    <w:p w14:paraId="763DB9E1" w14:textId="44EB0D01" w:rsidR="000146E7" w:rsidRDefault="000146E7" w:rsidP="00F45E4F">
      <w:pPr>
        <w:spacing w:after="0"/>
        <w:jc w:val="both"/>
        <w:rPr>
          <w:bCs/>
          <w:lang w:val="en-GB"/>
        </w:rPr>
      </w:pPr>
      <w:r w:rsidRPr="00CE715D">
        <w:rPr>
          <w:bCs/>
          <w:lang w:val="en-GB"/>
        </w:rPr>
        <w:t xml:space="preserve">Mean age at start of </w:t>
      </w:r>
      <w:r>
        <w:rPr>
          <w:bCs/>
          <w:lang w:val="en-GB"/>
        </w:rPr>
        <w:t>CA</w:t>
      </w:r>
      <w:r w:rsidRPr="00CE715D">
        <w:rPr>
          <w:bCs/>
          <w:lang w:val="en-GB"/>
        </w:rPr>
        <w:t xml:space="preserve"> and </w:t>
      </w:r>
      <w:r>
        <w:rPr>
          <w:bCs/>
          <w:lang w:val="en-GB"/>
        </w:rPr>
        <w:t>C</w:t>
      </w:r>
      <w:r w:rsidR="007F650B">
        <w:rPr>
          <w:bCs/>
          <w:lang w:val="en-GB"/>
        </w:rPr>
        <w:t>A</w:t>
      </w:r>
      <w:r w:rsidRPr="00CE715D">
        <w:rPr>
          <w:bCs/>
          <w:lang w:val="en-GB"/>
        </w:rPr>
        <w:t>+</w:t>
      </w:r>
      <w:r>
        <w:rPr>
          <w:bCs/>
          <w:lang w:val="en-GB"/>
        </w:rPr>
        <w:t>E</w:t>
      </w:r>
      <w:r w:rsidRPr="00CE715D">
        <w:rPr>
          <w:bCs/>
          <w:lang w:val="en-GB"/>
        </w:rPr>
        <w:t xml:space="preserve"> was 1</w:t>
      </w:r>
      <w:r w:rsidR="00B15E63">
        <w:rPr>
          <w:bCs/>
          <w:lang w:val="en-GB"/>
        </w:rPr>
        <w:t>6</w:t>
      </w:r>
      <w:r w:rsidRPr="00CE715D">
        <w:rPr>
          <w:bCs/>
          <w:lang w:val="en-GB"/>
        </w:rPr>
        <w:t xml:space="preserve"> years </w:t>
      </w:r>
      <w:r w:rsidR="00B15E63">
        <w:rPr>
          <w:bCs/>
          <w:lang w:val="en-GB"/>
        </w:rPr>
        <w:t>6</w:t>
      </w:r>
      <w:r w:rsidRPr="00CE715D">
        <w:rPr>
          <w:bCs/>
          <w:lang w:val="en-GB"/>
        </w:rPr>
        <w:t xml:space="preserve"> months, and 17 years </w:t>
      </w:r>
      <w:r w:rsidR="00B15E63">
        <w:rPr>
          <w:bCs/>
          <w:lang w:val="en-GB"/>
        </w:rPr>
        <w:t>7</w:t>
      </w:r>
      <w:r w:rsidRPr="00CE715D">
        <w:rPr>
          <w:bCs/>
          <w:lang w:val="en-GB"/>
        </w:rPr>
        <w:t xml:space="preserve"> months, respectively. Mean treatment duration f</w:t>
      </w:r>
      <w:r>
        <w:rPr>
          <w:bCs/>
          <w:lang w:val="en-GB"/>
        </w:rPr>
        <w:t>or CA</w:t>
      </w:r>
      <w:r w:rsidR="00B15E63">
        <w:rPr>
          <w:bCs/>
          <w:lang w:val="en-GB"/>
        </w:rPr>
        <w:t xml:space="preserve"> was </w:t>
      </w:r>
      <w:r w:rsidR="002D01AF">
        <w:rPr>
          <w:bCs/>
          <w:lang w:val="en-GB"/>
        </w:rPr>
        <w:t>11</w:t>
      </w:r>
      <w:r w:rsidRPr="00CE715D">
        <w:rPr>
          <w:bCs/>
          <w:lang w:val="en-GB"/>
        </w:rPr>
        <w:t xml:space="preserve"> months</w:t>
      </w:r>
      <w:r w:rsidR="003A295B">
        <w:rPr>
          <w:bCs/>
          <w:lang w:val="en-GB"/>
        </w:rPr>
        <w:t xml:space="preserve"> </w:t>
      </w:r>
      <w:r w:rsidRPr="00CE715D">
        <w:rPr>
          <w:bCs/>
          <w:lang w:val="en-GB"/>
        </w:rPr>
        <w:t xml:space="preserve">and for </w:t>
      </w:r>
      <w:r>
        <w:rPr>
          <w:bCs/>
          <w:lang w:val="en-GB"/>
        </w:rPr>
        <w:t>C</w:t>
      </w:r>
      <w:r w:rsidR="007F650B">
        <w:rPr>
          <w:bCs/>
          <w:lang w:val="en-GB"/>
        </w:rPr>
        <w:t>A</w:t>
      </w:r>
      <w:r w:rsidRPr="00CE715D">
        <w:rPr>
          <w:bCs/>
          <w:lang w:val="en-GB"/>
        </w:rPr>
        <w:t>+</w:t>
      </w:r>
      <w:r>
        <w:rPr>
          <w:bCs/>
          <w:lang w:val="en-GB"/>
        </w:rPr>
        <w:t>E</w:t>
      </w:r>
      <w:r w:rsidR="00B15E63">
        <w:rPr>
          <w:bCs/>
          <w:lang w:val="en-GB"/>
        </w:rPr>
        <w:t xml:space="preserve"> </w:t>
      </w:r>
      <w:r w:rsidR="002D01AF">
        <w:rPr>
          <w:bCs/>
          <w:lang w:val="en-GB"/>
        </w:rPr>
        <w:t>12</w:t>
      </w:r>
      <w:r w:rsidRPr="00CE715D">
        <w:rPr>
          <w:bCs/>
          <w:lang w:val="en-GB"/>
        </w:rPr>
        <w:t xml:space="preserve"> months. </w:t>
      </w:r>
      <w:r w:rsidR="00B15E63">
        <w:rPr>
          <w:bCs/>
          <w:lang w:val="en-GB"/>
        </w:rPr>
        <w:t>One patient</w:t>
      </w:r>
      <w:r w:rsidRPr="00CE715D">
        <w:rPr>
          <w:bCs/>
          <w:lang w:val="en-GB"/>
        </w:rPr>
        <w:t xml:space="preserve"> stopped treatment</w:t>
      </w:r>
      <w:r w:rsidR="00E33EEE">
        <w:rPr>
          <w:bCs/>
          <w:lang w:val="en-GB"/>
        </w:rPr>
        <w:t xml:space="preserve"> with CA</w:t>
      </w:r>
      <w:r w:rsidRPr="00CE715D">
        <w:rPr>
          <w:bCs/>
          <w:lang w:val="en-GB"/>
        </w:rPr>
        <w:t xml:space="preserve"> </w:t>
      </w:r>
      <w:r w:rsidR="001105F7">
        <w:rPr>
          <w:bCs/>
          <w:lang w:val="en-GB"/>
        </w:rPr>
        <w:t xml:space="preserve">after 12 months </w:t>
      </w:r>
      <w:r w:rsidRPr="00CE715D">
        <w:rPr>
          <w:bCs/>
          <w:lang w:val="en-GB"/>
        </w:rPr>
        <w:t xml:space="preserve">because </w:t>
      </w:r>
      <w:r w:rsidR="00E33EEE">
        <w:rPr>
          <w:bCs/>
          <w:lang w:val="en-GB"/>
        </w:rPr>
        <w:t>he</w:t>
      </w:r>
      <w:r w:rsidRPr="00CE715D">
        <w:rPr>
          <w:bCs/>
          <w:lang w:val="en-GB"/>
        </w:rPr>
        <w:t xml:space="preserve"> no longer wished to pursue gender reassignment</w:t>
      </w:r>
      <w:r w:rsidR="007B185A">
        <w:rPr>
          <w:bCs/>
          <w:lang w:val="en-GB"/>
        </w:rPr>
        <w:t>. His data were</w:t>
      </w:r>
      <w:r w:rsidR="001E73E2">
        <w:rPr>
          <w:bCs/>
          <w:lang w:val="en-GB"/>
        </w:rPr>
        <w:t xml:space="preserve"> </w:t>
      </w:r>
      <w:r w:rsidR="007B185A">
        <w:rPr>
          <w:bCs/>
          <w:lang w:val="en-GB"/>
        </w:rPr>
        <w:t xml:space="preserve">therefore only </w:t>
      </w:r>
      <w:r w:rsidR="001E73E2">
        <w:rPr>
          <w:bCs/>
          <w:lang w:val="en-GB"/>
        </w:rPr>
        <w:t xml:space="preserve">included for </w:t>
      </w:r>
      <w:r w:rsidR="00E75F63">
        <w:rPr>
          <w:bCs/>
          <w:lang w:val="en-GB"/>
        </w:rPr>
        <w:t xml:space="preserve">the analyses of </w:t>
      </w:r>
      <w:r w:rsidR="001E73E2">
        <w:rPr>
          <w:bCs/>
          <w:lang w:val="en-GB"/>
        </w:rPr>
        <w:t>CA</w:t>
      </w:r>
      <w:r w:rsidR="00E75F63">
        <w:rPr>
          <w:bCs/>
          <w:lang w:val="en-GB"/>
        </w:rPr>
        <w:t xml:space="preserve"> in</w:t>
      </w:r>
      <w:r w:rsidR="001E73E2">
        <w:rPr>
          <w:bCs/>
          <w:lang w:val="en-GB"/>
        </w:rPr>
        <w:t xml:space="preserve"> monotherapy</w:t>
      </w:r>
      <w:r w:rsidRPr="00CE715D">
        <w:rPr>
          <w:bCs/>
          <w:lang w:val="en-GB"/>
        </w:rPr>
        <w:t>.</w:t>
      </w:r>
      <w:r w:rsidR="005431A2">
        <w:rPr>
          <w:bCs/>
          <w:lang w:val="en-GB"/>
        </w:rPr>
        <w:t xml:space="preserve"> </w:t>
      </w:r>
      <w:r w:rsidR="00D16E48">
        <w:rPr>
          <w:bCs/>
          <w:lang w:val="en-GB"/>
        </w:rPr>
        <w:t xml:space="preserve">Six adolescents had a psychiatric comorbidity: </w:t>
      </w:r>
      <w:r w:rsidR="00D943C1">
        <w:rPr>
          <w:bCs/>
          <w:lang w:val="en-GB"/>
        </w:rPr>
        <w:t>ASD was documented in four adolescents</w:t>
      </w:r>
      <w:r w:rsidR="00A30E6F">
        <w:rPr>
          <w:bCs/>
          <w:lang w:val="en-GB"/>
        </w:rPr>
        <w:t>, associated with automutilation in one. D</w:t>
      </w:r>
      <w:r w:rsidR="00D16E48">
        <w:rPr>
          <w:bCs/>
          <w:lang w:val="en-GB"/>
        </w:rPr>
        <w:t>epression</w:t>
      </w:r>
      <w:r w:rsidR="00F45E4F">
        <w:rPr>
          <w:bCs/>
          <w:lang w:val="en-GB"/>
        </w:rPr>
        <w:t>(s)</w:t>
      </w:r>
      <w:r w:rsidR="00D16E48">
        <w:rPr>
          <w:bCs/>
          <w:lang w:val="en-GB"/>
        </w:rPr>
        <w:t xml:space="preserve"> </w:t>
      </w:r>
      <w:r w:rsidR="00A30E6F">
        <w:rPr>
          <w:bCs/>
          <w:lang w:val="en-GB"/>
        </w:rPr>
        <w:t xml:space="preserve">was found </w:t>
      </w:r>
      <w:r w:rsidR="00D943C1">
        <w:rPr>
          <w:bCs/>
          <w:lang w:val="en-GB"/>
        </w:rPr>
        <w:t>in two</w:t>
      </w:r>
      <w:r w:rsidR="00D16E48">
        <w:rPr>
          <w:bCs/>
          <w:lang w:val="en-GB"/>
        </w:rPr>
        <w:t xml:space="preserve"> (one also had </w:t>
      </w:r>
      <w:r w:rsidR="00D943C1">
        <w:rPr>
          <w:bCs/>
          <w:lang w:val="en-GB"/>
        </w:rPr>
        <w:t>ASD</w:t>
      </w:r>
      <w:r w:rsidR="00D16E48">
        <w:rPr>
          <w:bCs/>
          <w:lang w:val="en-GB"/>
        </w:rPr>
        <w:t xml:space="preserve">) and </w:t>
      </w:r>
      <w:r w:rsidR="007327E4">
        <w:rPr>
          <w:bCs/>
          <w:lang w:val="en-GB"/>
        </w:rPr>
        <w:t>ADHD</w:t>
      </w:r>
      <w:r w:rsidR="00D943C1">
        <w:rPr>
          <w:bCs/>
          <w:lang w:val="en-GB"/>
        </w:rPr>
        <w:t xml:space="preserve"> was d</w:t>
      </w:r>
      <w:r w:rsidR="00F45E4F">
        <w:rPr>
          <w:bCs/>
          <w:lang w:val="en-GB"/>
        </w:rPr>
        <w:t>iagnose</w:t>
      </w:r>
      <w:r w:rsidR="00D943C1">
        <w:rPr>
          <w:bCs/>
          <w:lang w:val="en-GB"/>
        </w:rPr>
        <w:t>d in one adolescent</w:t>
      </w:r>
      <w:r w:rsidR="00D16E48">
        <w:rPr>
          <w:bCs/>
          <w:lang w:val="en-GB"/>
        </w:rPr>
        <w:t xml:space="preserve">. </w:t>
      </w:r>
      <w:r w:rsidR="00C1652C">
        <w:rPr>
          <w:bCs/>
          <w:lang w:val="en-GB"/>
        </w:rPr>
        <w:t xml:space="preserve">Six adolescents had </w:t>
      </w:r>
      <w:r w:rsidR="00EE1154">
        <w:rPr>
          <w:bCs/>
          <w:lang w:val="en-GB"/>
        </w:rPr>
        <w:t xml:space="preserve">vulnerable </w:t>
      </w:r>
      <w:r w:rsidR="008537AF">
        <w:rPr>
          <w:bCs/>
          <w:lang w:val="en-GB"/>
        </w:rPr>
        <w:t xml:space="preserve">social </w:t>
      </w:r>
      <w:r w:rsidR="00EE1154">
        <w:rPr>
          <w:bCs/>
          <w:lang w:val="en-GB"/>
        </w:rPr>
        <w:t>situation</w:t>
      </w:r>
      <w:r w:rsidR="00C1652C">
        <w:rPr>
          <w:bCs/>
          <w:lang w:val="en-GB"/>
        </w:rPr>
        <w:t xml:space="preserve">, </w:t>
      </w:r>
      <w:r w:rsidR="00A30E6F">
        <w:rPr>
          <w:bCs/>
          <w:lang w:val="en-GB"/>
        </w:rPr>
        <w:t>such as</w:t>
      </w:r>
      <w:r w:rsidR="00C1652C">
        <w:rPr>
          <w:bCs/>
          <w:lang w:val="en-GB"/>
        </w:rPr>
        <w:t xml:space="preserve"> being raised in a single-parent family, </w:t>
      </w:r>
      <w:r w:rsidR="00A30E6F">
        <w:rPr>
          <w:bCs/>
          <w:lang w:val="en-GB"/>
        </w:rPr>
        <w:t xml:space="preserve">residency in </w:t>
      </w:r>
      <w:r w:rsidR="00C1652C">
        <w:rPr>
          <w:bCs/>
          <w:lang w:val="en-GB"/>
        </w:rPr>
        <w:t>foster care or institution</w:t>
      </w:r>
      <w:r w:rsidR="00A30E6F">
        <w:rPr>
          <w:bCs/>
          <w:lang w:val="en-GB"/>
        </w:rPr>
        <w:t xml:space="preserve">, </w:t>
      </w:r>
      <w:r w:rsidR="00C1652C">
        <w:rPr>
          <w:bCs/>
          <w:lang w:val="en-GB"/>
        </w:rPr>
        <w:t>parent</w:t>
      </w:r>
      <w:r w:rsidR="00A30E6F">
        <w:rPr>
          <w:bCs/>
          <w:lang w:val="en-GB"/>
        </w:rPr>
        <w:t>al alcohol abuse</w:t>
      </w:r>
      <w:r w:rsidR="00C1652C">
        <w:rPr>
          <w:bCs/>
          <w:lang w:val="en-GB"/>
        </w:rPr>
        <w:t xml:space="preserve"> or having a severely handicapped brother</w:t>
      </w:r>
      <w:r w:rsidR="00F45E4F">
        <w:rPr>
          <w:bCs/>
          <w:lang w:val="en-GB"/>
        </w:rPr>
        <w:t xml:space="preserve"> to look after</w:t>
      </w:r>
      <w:r w:rsidR="00C1652C">
        <w:rPr>
          <w:bCs/>
          <w:lang w:val="en-GB"/>
        </w:rPr>
        <w:t>.</w:t>
      </w:r>
    </w:p>
    <w:p w14:paraId="62395072" w14:textId="1E1553EE" w:rsidR="00A30E6F" w:rsidRPr="00CE715D" w:rsidRDefault="00A30E6F" w:rsidP="00F45E4F">
      <w:pPr>
        <w:spacing w:after="0"/>
        <w:jc w:val="both"/>
        <w:rPr>
          <w:bCs/>
          <w:lang w:val="en-GB"/>
        </w:rPr>
      </w:pPr>
      <w:r>
        <w:rPr>
          <w:bCs/>
          <w:lang w:val="en-GB"/>
        </w:rPr>
        <w:t xml:space="preserve">As compared to the general male Flemish population, a considerably higher number of MtF transgender adolescents attended vocational training (mostly hairdressing) or art school. </w:t>
      </w:r>
      <w:r w:rsidRPr="00CE715D">
        <w:rPr>
          <w:bCs/>
          <w:lang w:val="en-GB"/>
        </w:rPr>
        <w:t>Reported side effect</w:t>
      </w:r>
      <w:r>
        <w:rPr>
          <w:bCs/>
          <w:lang w:val="en-GB"/>
        </w:rPr>
        <w:t>s and patient characteristics are</w:t>
      </w:r>
      <w:r w:rsidRPr="00CE715D">
        <w:rPr>
          <w:bCs/>
          <w:lang w:val="en-GB"/>
        </w:rPr>
        <w:t xml:space="preserve"> shown in Table </w:t>
      </w:r>
      <w:r>
        <w:rPr>
          <w:bCs/>
          <w:lang w:val="en-GB"/>
        </w:rPr>
        <w:t>7</w:t>
      </w:r>
      <w:r w:rsidRPr="00CE715D">
        <w:rPr>
          <w:bCs/>
          <w:lang w:val="en-GB"/>
        </w:rPr>
        <w:t>.</w:t>
      </w:r>
    </w:p>
    <w:p w14:paraId="59280DAE" w14:textId="77777777" w:rsidR="000146E7" w:rsidRPr="00CE715D" w:rsidRDefault="000146E7" w:rsidP="00C942CA">
      <w:pPr>
        <w:pStyle w:val="Kop3"/>
        <w:rPr>
          <w:lang w:val="en-GB"/>
        </w:rPr>
      </w:pPr>
      <w:bookmarkStart w:id="45" w:name="_Toc451961501"/>
      <w:r w:rsidRPr="00CE715D">
        <w:rPr>
          <w:lang w:val="en-GB"/>
        </w:rPr>
        <w:t>Side effects</w:t>
      </w:r>
      <w:bookmarkEnd w:id="45"/>
    </w:p>
    <w:p w14:paraId="70A1A72C" w14:textId="6D3D6B83" w:rsidR="000146E7" w:rsidRDefault="00D925DF" w:rsidP="00FB0AAD">
      <w:pPr>
        <w:spacing w:after="0"/>
        <w:jc w:val="both"/>
        <w:rPr>
          <w:bCs/>
          <w:lang w:val="en-GB"/>
        </w:rPr>
      </w:pPr>
      <w:r>
        <w:rPr>
          <w:bCs/>
          <w:lang w:val="en-GB"/>
        </w:rPr>
        <w:t xml:space="preserve">Over half of the adolescents reported a decreased </w:t>
      </w:r>
      <w:r w:rsidR="00A44149">
        <w:rPr>
          <w:bCs/>
          <w:lang w:val="en-GB"/>
        </w:rPr>
        <w:t>frequency of</w:t>
      </w:r>
      <w:r>
        <w:rPr>
          <w:bCs/>
          <w:lang w:val="en-GB"/>
        </w:rPr>
        <w:t xml:space="preserve"> facial shaving </w:t>
      </w:r>
      <w:r w:rsidR="00A30E6F">
        <w:rPr>
          <w:bCs/>
          <w:lang w:val="en-GB"/>
        </w:rPr>
        <w:t xml:space="preserve">already </w:t>
      </w:r>
      <w:r w:rsidR="002A4572">
        <w:rPr>
          <w:bCs/>
          <w:lang w:val="en-GB"/>
        </w:rPr>
        <w:t xml:space="preserve">during </w:t>
      </w:r>
      <w:r w:rsidR="004D32D4">
        <w:rPr>
          <w:bCs/>
          <w:lang w:val="en-GB"/>
        </w:rPr>
        <w:t>CA</w:t>
      </w:r>
      <w:r w:rsidR="00A30E6F">
        <w:rPr>
          <w:bCs/>
          <w:lang w:val="en-GB"/>
        </w:rPr>
        <w:t xml:space="preserve">. </w:t>
      </w:r>
      <w:r>
        <w:rPr>
          <w:bCs/>
          <w:lang w:val="en-GB"/>
        </w:rPr>
        <w:t xml:space="preserve">Two adolescents underwent laser treatment to </w:t>
      </w:r>
      <w:r w:rsidR="007657F0">
        <w:rPr>
          <w:bCs/>
          <w:lang w:val="en-GB"/>
        </w:rPr>
        <w:t xml:space="preserve">remove </w:t>
      </w:r>
      <w:r w:rsidR="00587BBD">
        <w:rPr>
          <w:bCs/>
          <w:lang w:val="en-GB"/>
        </w:rPr>
        <w:t>facial hair</w:t>
      </w:r>
      <w:r w:rsidR="008306DF">
        <w:rPr>
          <w:bCs/>
          <w:lang w:val="en-GB"/>
        </w:rPr>
        <w:t xml:space="preserve"> (one during CA, one during C</w:t>
      </w:r>
      <w:r w:rsidR="007F650B">
        <w:rPr>
          <w:bCs/>
          <w:lang w:val="en-GB"/>
        </w:rPr>
        <w:t>A</w:t>
      </w:r>
      <w:r w:rsidR="008306DF">
        <w:rPr>
          <w:bCs/>
          <w:lang w:val="en-GB"/>
        </w:rPr>
        <w:t>+E)</w:t>
      </w:r>
      <w:r>
        <w:rPr>
          <w:bCs/>
          <w:lang w:val="en-GB"/>
        </w:rPr>
        <w:t xml:space="preserve">. </w:t>
      </w:r>
      <w:r w:rsidR="004D32D4">
        <w:rPr>
          <w:bCs/>
          <w:lang w:val="en-GB"/>
        </w:rPr>
        <w:t xml:space="preserve">Breast development </w:t>
      </w:r>
      <w:r w:rsidR="007657F0">
        <w:rPr>
          <w:bCs/>
          <w:lang w:val="en-GB"/>
        </w:rPr>
        <w:t xml:space="preserve">was noticed </w:t>
      </w:r>
      <w:r w:rsidR="004D32D4">
        <w:rPr>
          <w:bCs/>
          <w:lang w:val="en-GB"/>
        </w:rPr>
        <w:t>during CA in 28% of the patients, reaching Tanner B2-3. During C</w:t>
      </w:r>
      <w:r w:rsidR="007F650B">
        <w:rPr>
          <w:bCs/>
          <w:lang w:val="en-GB"/>
        </w:rPr>
        <w:t>A</w:t>
      </w:r>
      <w:r w:rsidR="004D32D4">
        <w:rPr>
          <w:bCs/>
          <w:lang w:val="en-GB"/>
        </w:rPr>
        <w:t xml:space="preserve">+E, </w:t>
      </w:r>
      <w:r>
        <w:rPr>
          <w:bCs/>
          <w:lang w:val="en-GB"/>
        </w:rPr>
        <w:t>82</w:t>
      </w:r>
      <w:r w:rsidR="004D32D4">
        <w:rPr>
          <w:bCs/>
          <w:lang w:val="en-GB"/>
        </w:rPr>
        <w:t>,</w:t>
      </w:r>
      <w:r>
        <w:rPr>
          <w:bCs/>
          <w:lang w:val="en-GB"/>
        </w:rPr>
        <w:t>4</w:t>
      </w:r>
      <w:r w:rsidR="004D32D4">
        <w:rPr>
          <w:bCs/>
          <w:lang w:val="en-GB"/>
        </w:rPr>
        <w:t>% reached Tanner B3-4</w:t>
      </w:r>
      <w:r w:rsidR="00A30E6F">
        <w:rPr>
          <w:bCs/>
          <w:lang w:val="en-GB"/>
        </w:rPr>
        <w:t xml:space="preserve">, however with </w:t>
      </w:r>
      <w:r w:rsidR="00412E9C">
        <w:rPr>
          <w:bCs/>
          <w:lang w:val="en-GB"/>
        </w:rPr>
        <w:t xml:space="preserve">objectively </w:t>
      </w:r>
      <w:r w:rsidR="00A30E6F">
        <w:rPr>
          <w:bCs/>
          <w:lang w:val="en-GB"/>
        </w:rPr>
        <w:t>small</w:t>
      </w:r>
      <w:r w:rsidR="00412E9C">
        <w:rPr>
          <w:bCs/>
          <w:lang w:val="en-GB"/>
        </w:rPr>
        <w:t xml:space="preserve"> and subjectively unsatisfactory</w:t>
      </w:r>
      <w:r w:rsidR="00A30E6F">
        <w:rPr>
          <w:bCs/>
          <w:lang w:val="en-GB"/>
        </w:rPr>
        <w:t xml:space="preserve"> breast volume</w:t>
      </w:r>
      <w:r w:rsidR="00412E9C">
        <w:rPr>
          <w:bCs/>
          <w:lang w:val="en-GB"/>
        </w:rPr>
        <w:t xml:space="preserve"> in most cases</w:t>
      </w:r>
      <w:r w:rsidR="004D32D4">
        <w:rPr>
          <w:bCs/>
          <w:lang w:val="en-GB"/>
        </w:rPr>
        <w:t>. Breast tenderness</w:t>
      </w:r>
      <w:r w:rsidR="00FA2B8C">
        <w:rPr>
          <w:bCs/>
          <w:lang w:val="en-GB"/>
        </w:rPr>
        <w:t>,</w:t>
      </w:r>
      <w:r w:rsidR="004D32D4">
        <w:rPr>
          <w:bCs/>
          <w:lang w:val="en-GB"/>
        </w:rPr>
        <w:t xml:space="preserve"> increased emotionality and hunger were most frequently reported during C</w:t>
      </w:r>
      <w:r w:rsidR="007F650B">
        <w:rPr>
          <w:bCs/>
          <w:lang w:val="en-GB"/>
        </w:rPr>
        <w:t>A</w:t>
      </w:r>
      <w:r w:rsidR="004D32D4">
        <w:rPr>
          <w:bCs/>
          <w:lang w:val="en-GB"/>
        </w:rPr>
        <w:t>+E</w:t>
      </w:r>
      <w:r w:rsidR="00412E9C">
        <w:rPr>
          <w:bCs/>
          <w:lang w:val="en-GB"/>
        </w:rPr>
        <w:t>;</w:t>
      </w:r>
      <w:r w:rsidR="004D32D4">
        <w:rPr>
          <w:bCs/>
          <w:lang w:val="en-GB"/>
        </w:rPr>
        <w:t xml:space="preserve"> fatigue was prevalent during CA. Hot flushes were reported </w:t>
      </w:r>
      <w:r w:rsidR="00412E9C">
        <w:rPr>
          <w:bCs/>
          <w:lang w:val="en-GB"/>
        </w:rPr>
        <w:t xml:space="preserve">by some </w:t>
      </w:r>
      <w:r w:rsidR="004D32D4">
        <w:rPr>
          <w:bCs/>
          <w:lang w:val="en-GB"/>
        </w:rPr>
        <w:t xml:space="preserve">during both treatment phases. </w:t>
      </w:r>
    </w:p>
    <w:p w14:paraId="372ABA84" w14:textId="29DB80AA" w:rsidR="001105F7" w:rsidRPr="001105F7" w:rsidRDefault="001105F7" w:rsidP="00B47916">
      <w:pPr>
        <w:spacing w:before="120" w:after="0"/>
        <w:rPr>
          <w:lang w:val="en-GB"/>
        </w:rPr>
      </w:pPr>
      <w:r>
        <w:rPr>
          <w:b/>
          <w:lang w:val="en-GB"/>
        </w:rPr>
        <w:t xml:space="preserve">Table </w:t>
      </w:r>
      <w:r w:rsidR="00A44497">
        <w:rPr>
          <w:b/>
          <w:lang w:val="en-GB"/>
        </w:rPr>
        <w:t>7</w:t>
      </w:r>
      <w:r>
        <w:rPr>
          <w:b/>
          <w:lang w:val="en-GB"/>
        </w:rPr>
        <w:t xml:space="preserve">. </w:t>
      </w:r>
      <w:r>
        <w:rPr>
          <w:lang w:val="en-GB"/>
        </w:rPr>
        <w:t>Summary of patient characteristics and side effects</w:t>
      </w:r>
    </w:p>
    <w:tbl>
      <w:tblPr>
        <w:tblStyle w:val="Onopgemaaktetabel21"/>
        <w:tblW w:w="5018" w:type="pct"/>
        <w:tblLook w:val="04A0" w:firstRow="1" w:lastRow="0" w:firstColumn="1" w:lastColumn="0" w:noHBand="0" w:noVBand="1"/>
      </w:tblPr>
      <w:tblGrid>
        <w:gridCol w:w="2418"/>
        <w:gridCol w:w="1855"/>
        <w:gridCol w:w="1324"/>
        <w:gridCol w:w="1862"/>
        <w:gridCol w:w="1862"/>
      </w:tblGrid>
      <w:tr w:rsidR="000146E7" w:rsidRPr="00B53119" w14:paraId="6022C925" w14:textId="77777777" w:rsidTr="00A512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pct"/>
          </w:tcPr>
          <w:p w14:paraId="7D4234C3" w14:textId="77777777" w:rsidR="000146E7" w:rsidRPr="004A2C2D" w:rsidRDefault="000146E7" w:rsidP="000146E7">
            <w:pPr>
              <w:jc w:val="center"/>
              <w:rPr>
                <w:rFonts w:cs="Times New Roman"/>
                <w:b w:val="0"/>
                <w:sz w:val="20"/>
                <w:szCs w:val="20"/>
                <w:lang w:val="en-GB"/>
              </w:rPr>
            </w:pPr>
            <w:r w:rsidRPr="004A2C2D">
              <w:rPr>
                <w:rFonts w:cs="Times New Roman"/>
                <w:b w:val="0"/>
                <w:sz w:val="20"/>
                <w:szCs w:val="20"/>
                <w:lang w:val="en-GB"/>
              </w:rPr>
              <w:t>Comorbidity</w:t>
            </w:r>
          </w:p>
        </w:tc>
        <w:tc>
          <w:tcPr>
            <w:tcW w:w="995" w:type="pct"/>
          </w:tcPr>
          <w:p w14:paraId="6FEF22BC" w14:textId="77777777" w:rsidR="000146E7" w:rsidRPr="004A2C2D" w:rsidRDefault="000146E7" w:rsidP="000146E7">
            <w:pPr>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lang w:val="en-GB"/>
              </w:rPr>
            </w:pPr>
            <w:r w:rsidRPr="004A2C2D">
              <w:rPr>
                <w:rFonts w:cs="Times New Roman"/>
                <w:b w:val="0"/>
                <w:sz w:val="20"/>
                <w:szCs w:val="20"/>
                <w:lang w:val="en-GB"/>
              </w:rPr>
              <w:t>Education</w:t>
            </w:r>
          </w:p>
        </w:tc>
        <w:tc>
          <w:tcPr>
            <w:tcW w:w="2708" w:type="pct"/>
            <w:gridSpan w:val="3"/>
          </w:tcPr>
          <w:p w14:paraId="441476EA" w14:textId="77777777" w:rsidR="000146E7" w:rsidRPr="004A2C2D" w:rsidRDefault="000146E7" w:rsidP="000146E7">
            <w:pPr>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lang w:val="en-GB"/>
              </w:rPr>
            </w:pPr>
            <w:r w:rsidRPr="004A2C2D">
              <w:rPr>
                <w:rFonts w:cs="Times New Roman"/>
                <w:b w:val="0"/>
                <w:sz w:val="20"/>
                <w:szCs w:val="20"/>
                <w:lang w:val="en-GB"/>
              </w:rPr>
              <w:t>Side effects</w:t>
            </w:r>
          </w:p>
        </w:tc>
      </w:tr>
      <w:tr w:rsidR="000146E7" w:rsidRPr="00B53119" w14:paraId="48933212" w14:textId="77777777" w:rsidTr="00A51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pct"/>
            <w:vMerge w:val="restart"/>
          </w:tcPr>
          <w:p w14:paraId="318B7DFD" w14:textId="77777777" w:rsidR="000146E7" w:rsidRPr="00614735" w:rsidRDefault="000146E7" w:rsidP="000146E7">
            <w:pPr>
              <w:rPr>
                <w:rFonts w:cs="Times New Roman"/>
                <w:sz w:val="20"/>
                <w:szCs w:val="20"/>
                <w:lang w:val="en-GB"/>
              </w:rPr>
            </w:pPr>
            <w:r>
              <w:rPr>
                <w:rFonts w:cs="Times New Roman"/>
                <w:sz w:val="20"/>
                <w:szCs w:val="20"/>
                <w:lang w:val="en-GB"/>
              </w:rPr>
              <w:t>Psychiatric: 6</w:t>
            </w:r>
            <w:r w:rsidRPr="00614735">
              <w:rPr>
                <w:rFonts w:cs="Times New Roman"/>
                <w:sz w:val="20"/>
                <w:szCs w:val="20"/>
                <w:lang w:val="en-GB"/>
              </w:rPr>
              <w:t>/</w:t>
            </w:r>
            <w:r>
              <w:rPr>
                <w:rFonts w:cs="Times New Roman"/>
                <w:sz w:val="20"/>
                <w:szCs w:val="20"/>
                <w:lang w:val="en-GB"/>
              </w:rPr>
              <w:t>27 (22,2</w:t>
            </w:r>
            <w:r w:rsidRPr="00614735">
              <w:rPr>
                <w:rFonts w:cs="Times New Roman"/>
                <w:sz w:val="20"/>
                <w:szCs w:val="20"/>
                <w:lang w:val="en-GB"/>
              </w:rPr>
              <w:t>%)</w:t>
            </w:r>
          </w:p>
          <w:p w14:paraId="4F6D1BD1" w14:textId="77777777" w:rsidR="000146E7" w:rsidRPr="00614735" w:rsidRDefault="000146E7" w:rsidP="000146E7">
            <w:pPr>
              <w:rPr>
                <w:rFonts w:cs="Times New Roman"/>
                <w:sz w:val="20"/>
                <w:szCs w:val="20"/>
                <w:lang w:val="en-GB"/>
              </w:rPr>
            </w:pPr>
            <w:r>
              <w:rPr>
                <w:rFonts w:cs="Times New Roman"/>
                <w:sz w:val="20"/>
                <w:szCs w:val="20"/>
                <w:lang w:val="en-GB"/>
              </w:rPr>
              <w:t>Social: 6</w:t>
            </w:r>
            <w:r w:rsidRPr="00614735">
              <w:rPr>
                <w:rFonts w:cs="Times New Roman"/>
                <w:sz w:val="20"/>
                <w:szCs w:val="20"/>
                <w:lang w:val="en-GB"/>
              </w:rPr>
              <w:t>/</w:t>
            </w:r>
            <w:r>
              <w:rPr>
                <w:rFonts w:cs="Times New Roman"/>
                <w:sz w:val="20"/>
                <w:szCs w:val="20"/>
                <w:lang w:val="en-GB"/>
              </w:rPr>
              <w:t>27</w:t>
            </w:r>
            <w:r w:rsidRPr="00614735">
              <w:rPr>
                <w:rFonts w:cs="Times New Roman"/>
                <w:sz w:val="20"/>
                <w:szCs w:val="20"/>
                <w:lang w:val="en-GB"/>
              </w:rPr>
              <w:t xml:space="preserve"> (</w:t>
            </w:r>
            <w:r>
              <w:rPr>
                <w:rFonts w:cs="Times New Roman"/>
                <w:sz w:val="20"/>
                <w:szCs w:val="20"/>
                <w:lang w:val="en-GB"/>
              </w:rPr>
              <w:t>22,2</w:t>
            </w:r>
            <w:r w:rsidRPr="00614735">
              <w:rPr>
                <w:rFonts w:cs="Times New Roman"/>
                <w:sz w:val="20"/>
                <w:szCs w:val="20"/>
                <w:lang w:val="en-GB"/>
              </w:rPr>
              <w:t>%)</w:t>
            </w:r>
          </w:p>
          <w:p w14:paraId="27D0F0A7" w14:textId="77777777" w:rsidR="000146E7" w:rsidRPr="00614735" w:rsidRDefault="000146E7" w:rsidP="000146E7">
            <w:pPr>
              <w:rPr>
                <w:rFonts w:cs="Times New Roman"/>
                <w:sz w:val="20"/>
                <w:szCs w:val="20"/>
                <w:lang w:val="en-GB"/>
              </w:rPr>
            </w:pPr>
            <w:r w:rsidRPr="00614735">
              <w:rPr>
                <w:rFonts w:cs="Times New Roman"/>
                <w:sz w:val="20"/>
                <w:szCs w:val="20"/>
                <w:lang w:val="en-GB"/>
              </w:rPr>
              <w:t>DSD: 0/</w:t>
            </w:r>
            <w:r>
              <w:rPr>
                <w:rFonts w:cs="Times New Roman"/>
                <w:sz w:val="20"/>
                <w:szCs w:val="20"/>
                <w:lang w:val="en-GB"/>
              </w:rPr>
              <w:t>27</w:t>
            </w:r>
            <w:r w:rsidRPr="00614735">
              <w:rPr>
                <w:rFonts w:cs="Times New Roman"/>
                <w:sz w:val="20"/>
                <w:szCs w:val="20"/>
                <w:lang w:val="en-GB"/>
              </w:rPr>
              <w:t xml:space="preserve"> (0%)</w:t>
            </w:r>
          </w:p>
        </w:tc>
        <w:tc>
          <w:tcPr>
            <w:tcW w:w="995" w:type="pct"/>
            <w:vMerge w:val="restart"/>
          </w:tcPr>
          <w:p w14:paraId="15ACF456" w14:textId="77777777" w:rsidR="000146E7" w:rsidRPr="00614735" w:rsidRDefault="000146E7" w:rsidP="000146E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614735">
              <w:rPr>
                <w:rFonts w:cs="Times New Roman"/>
                <w:sz w:val="20"/>
                <w:szCs w:val="20"/>
                <w:lang w:val="en-GB"/>
              </w:rPr>
              <w:t xml:space="preserve">ASO: </w:t>
            </w:r>
            <w:r>
              <w:rPr>
                <w:rFonts w:cs="Times New Roman"/>
                <w:sz w:val="20"/>
                <w:szCs w:val="20"/>
                <w:lang w:val="en-GB"/>
              </w:rPr>
              <w:t>4</w:t>
            </w:r>
            <w:r w:rsidRPr="00614735">
              <w:rPr>
                <w:rFonts w:cs="Times New Roman"/>
                <w:sz w:val="20"/>
                <w:szCs w:val="20"/>
                <w:lang w:val="en-GB"/>
              </w:rPr>
              <w:t>/</w:t>
            </w:r>
            <w:r>
              <w:rPr>
                <w:rFonts w:cs="Times New Roman"/>
                <w:sz w:val="20"/>
                <w:szCs w:val="20"/>
                <w:lang w:val="en-GB"/>
              </w:rPr>
              <w:t>27 (</w:t>
            </w:r>
            <w:r w:rsidRPr="00614735">
              <w:rPr>
                <w:rFonts w:cs="Times New Roman"/>
                <w:sz w:val="20"/>
                <w:szCs w:val="20"/>
                <w:lang w:val="en-GB"/>
              </w:rPr>
              <w:t>14</w:t>
            </w:r>
            <w:r>
              <w:rPr>
                <w:rFonts w:cs="Times New Roman"/>
                <w:sz w:val="20"/>
                <w:szCs w:val="20"/>
                <w:lang w:val="en-GB"/>
              </w:rPr>
              <w:t>,8</w:t>
            </w:r>
            <w:r w:rsidRPr="00614735">
              <w:rPr>
                <w:rFonts w:cs="Times New Roman"/>
                <w:sz w:val="20"/>
                <w:szCs w:val="20"/>
                <w:lang w:val="en-GB"/>
              </w:rPr>
              <w:t>%)</w:t>
            </w:r>
          </w:p>
          <w:p w14:paraId="27264D87" w14:textId="77777777" w:rsidR="000146E7" w:rsidRPr="00614735" w:rsidRDefault="000146E7" w:rsidP="000146E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Pr>
                <w:rFonts w:cs="Times New Roman"/>
                <w:sz w:val="20"/>
                <w:szCs w:val="20"/>
                <w:lang w:val="en-GB"/>
              </w:rPr>
              <w:t>TSO: 8/27 (29</w:t>
            </w:r>
            <w:r w:rsidRPr="00614735">
              <w:rPr>
                <w:rFonts w:cs="Times New Roman"/>
                <w:sz w:val="20"/>
                <w:szCs w:val="20"/>
                <w:lang w:val="en-GB"/>
              </w:rPr>
              <w:t>,</w:t>
            </w:r>
            <w:r>
              <w:rPr>
                <w:rFonts w:cs="Times New Roman"/>
                <w:sz w:val="20"/>
                <w:szCs w:val="20"/>
                <w:lang w:val="en-GB"/>
              </w:rPr>
              <w:t>6</w:t>
            </w:r>
            <w:r w:rsidRPr="00614735">
              <w:rPr>
                <w:rFonts w:cs="Times New Roman"/>
                <w:sz w:val="20"/>
                <w:szCs w:val="20"/>
                <w:lang w:val="en-GB"/>
              </w:rPr>
              <w:t>%)</w:t>
            </w:r>
          </w:p>
          <w:p w14:paraId="0378F60F" w14:textId="77777777" w:rsidR="000146E7" w:rsidRPr="00614735" w:rsidRDefault="000146E7" w:rsidP="000146E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Pr>
                <w:rFonts w:cs="Times New Roman"/>
                <w:sz w:val="20"/>
                <w:szCs w:val="20"/>
                <w:lang w:val="en-GB"/>
              </w:rPr>
              <w:t>BSO: 10</w:t>
            </w:r>
            <w:r w:rsidRPr="00614735">
              <w:rPr>
                <w:rFonts w:cs="Times New Roman"/>
                <w:sz w:val="20"/>
                <w:szCs w:val="20"/>
                <w:lang w:val="en-GB"/>
              </w:rPr>
              <w:t>/</w:t>
            </w:r>
            <w:r>
              <w:rPr>
                <w:rFonts w:cs="Times New Roman"/>
                <w:sz w:val="20"/>
                <w:szCs w:val="20"/>
                <w:lang w:val="en-GB"/>
              </w:rPr>
              <w:t>27 (37</w:t>
            </w:r>
            <w:r w:rsidRPr="00614735">
              <w:rPr>
                <w:rFonts w:cs="Times New Roman"/>
                <w:sz w:val="20"/>
                <w:szCs w:val="20"/>
                <w:lang w:val="en-GB"/>
              </w:rPr>
              <w:t>,</w:t>
            </w:r>
            <w:r>
              <w:rPr>
                <w:rFonts w:cs="Times New Roman"/>
                <w:sz w:val="20"/>
                <w:szCs w:val="20"/>
                <w:lang w:val="en-GB"/>
              </w:rPr>
              <w:t>0</w:t>
            </w:r>
            <w:r w:rsidRPr="00614735">
              <w:rPr>
                <w:rFonts w:cs="Times New Roman"/>
                <w:sz w:val="20"/>
                <w:szCs w:val="20"/>
                <w:lang w:val="en-GB"/>
              </w:rPr>
              <w:t>%)</w:t>
            </w:r>
          </w:p>
          <w:p w14:paraId="528451E6" w14:textId="77777777" w:rsidR="000146E7" w:rsidRPr="00614735" w:rsidRDefault="000146E7" w:rsidP="000146E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614735">
              <w:rPr>
                <w:rFonts w:cs="Times New Roman"/>
                <w:sz w:val="20"/>
                <w:szCs w:val="20"/>
                <w:lang w:val="en-GB"/>
              </w:rPr>
              <w:t xml:space="preserve">BUSO: </w:t>
            </w:r>
            <w:r>
              <w:rPr>
                <w:rFonts w:cs="Times New Roman"/>
                <w:sz w:val="20"/>
                <w:szCs w:val="20"/>
                <w:lang w:val="en-GB"/>
              </w:rPr>
              <w:t>1</w:t>
            </w:r>
            <w:r w:rsidRPr="00614735">
              <w:rPr>
                <w:rFonts w:cs="Times New Roman"/>
                <w:sz w:val="20"/>
                <w:szCs w:val="20"/>
                <w:lang w:val="en-GB"/>
              </w:rPr>
              <w:t>/</w:t>
            </w:r>
            <w:r>
              <w:rPr>
                <w:rFonts w:cs="Times New Roman"/>
                <w:sz w:val="20"/>
                <w:szCs w:val="20"/>
                <w:lang w:val="en-GB"/>
              </w:rPr>
              <w:t>27</w:t>
            </w:r>
            <w:r w:rsidRPr="00614735">
              <w:rPr>
                <w:rFonts w:cs="Times New Roman"/>
                <w:sz w:val="20"/>
                <w:szCs w:val="20"/>
                <w:lang w:val="en-GB"/>
              </w:rPr>
              <w:t xml:space="preserve"> (</w:t>
            </w:r>
            <w:r>
              <w:rPr>
                <w:rFonts w:cs="Times New Roman"/>
                <w:sz w:val="20"/>
                <w:szCs w:val="20"/>
                <w:lang w:val="en-GB"/>
              </w:rPr>
              <w:t>3</w:t>
            </w:r>
            <w:r w:rsidRPr="00614735">
              <w:rPr>
                <w:rFonts w:cs="Times New Roman"/>
                <w:sz w:val="20"/>
                <w:szCs w:val="20"/>
                <w:lang w:val="en-GB"/>
              </w:rPr>
              <w:t>,</w:t>
            </w:r>
            <w:r>
              <w:rPr>
                <w:rFonts w:cs="Times New Roman"/>
                <w:sz w:val="20"/>
                <w:szCs w:val="20"/>
                <w:lang w:val="en-GB"/>
              </w:rPr>
              <w:t>7</w:t>
            </w:r>
            <w:r w:rsidRPr="00614735">
              <w:rPr>
                <w:rFonts w:cs="Times New Roman"/>
                <w:sz w:val="20"/>
                <w:szCs w:val="20"/>
                <w:lang w:val="en-GB"/>
              </w:rPr>
              <w:t>%)</w:t>
            </w:r>
          </w:p>
          <w:p w14:paraId="3946C417" w14:textId="77777777" w:rsidR="000146E7" w:rsidRPr="00614735" w:rsidRDefault="000146E7" w:rsidP="000146E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614735">
              <w:rPr>
                <w:rFonts w:cs="Times New Roman"/>
                <w:sz w:val="20"/>
                <w:szCs w:val="20"/>
                <w:lang w:val="en-GB"/>
              </w:rPr>
              <w:t xml:space="preserve">KSO: </w:t>
            </w:r>
            <w:r>
              <w:rPr>
                <w:rFonts w:cs="Times New Roman"/>
                <w:sz w:val="20"/>
                <w:szCs w:val="20"/>
                <w:lang w:val="en-GB"/>
              </w:rPr>
              <w:t>4</w:t>
            </w:r>
            <w:r w:rsidRPr="00614735">
              <w:rPr>
                <w:rFonts w:cs="Times New Roman"/>
                <w:sz w:val="20"/>
                <w:szCs w:val="20"/>
                <w:lang w:val="en-GB"/>
              </w:rPr>
              <w:t>/</w:t>
            </w:r>
            <w:r>
              <w:rPr>
                <w:rFonts w:cs="Times New Roman"/>
                <w:sz w:val="20"/>
                <w:szCs w:val="20"/>
                <w:lang w:val="en-GB"/>
              </w:rPr>
              <w:t>27</w:t>
            </w:r>
            <w:r w:rsidRPr="00614735">
              <w:rPr>
                <w:rFonts w:cs="Times New Roman"/>
                <w:sz w:val="20"/>
                <w:szCs w:val="20"/>
                <w:lang w:val="en-GB"/>
              </w:rPr>
              <w:t xml:space="preserve"> (</w:t>
            </w:r>
            <w:r>
              <w:rPr>
                <w:rFonts w:cs="Times New Roman"/>
                <w:sz w:val="20"/>
                <w:szCs w:val="20"/>
                <w:lang w:val="en-GB"/>
              </w:rPr>
              <w:t>1</w:t>
            </w:r>
            <w:r w:rsidRPr="00614735">
              <w:rPr>
                <w:rFonts w:cs="Times New Roman"/>
                <w:sz w:val="20"/>
                <w:szCs w:val="20"/>
                <w:lang w:val="en-GB"/>
              </w:rPr>
              <w:t>4,8%)</w:t>
            </w:r>
          </w:p>
        </w:tc>
        <w:tc>
          <w:tcPr>
            <w:tcW w:w="710" w:type="pct"/>
          </w:tcPr>
          <w:p w14:paraId="6ADD7088" w14:textId="77777777" w:rsidR="000146E7" w:rsidRPr="004A2C2D" w:rsidRDefault="000146E7" w:rsidP="000146E7">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lang w:val="en-GB"/>
              </w:rPr>
            </w:pPr>
            <w:r>
              <w:rPr>
                <w:rFonts w:cs="Times New Roman"/>
                <w:b/>
                <w:sz w:val="20"/>
                <w:szCs w:val="20"/>
                <w:lang w:val="en-GB"/>
              </w:rPr>
              <w:t>Side effect</w:t>
            </w:r>
          </w:p>
        </w:tc>
        <w:tc>
          <w:tcPr>
            <w:tcW w:w="999" w:type="pct"/>
          </w:tcPr>
          <w:p w14:paraId="4C330ADD" w14:textId="77777777" w:rsidR="000146E7" w:rsidRPr="004A2C2D" w:rsidRDefault="000146E7" w:rsidP="000146E7">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lang w:val="en-GB"/>
              </w:rPr>
            </w:pPr>
            <w:r>
              <w:rPr>
                <w:rFonts w:cs="Times New Roman"/>
                <w:b/>
                <w:sz w:val="20"/>
                <w:szCs w:val="20"/>
                <w:lang w:val="en-GB"/>
              </w:rPr>
              <w:t>CA</w:t>
            </w:r>
          </w:p>
        </w:tc>
        <w:tc>
          <w:tcPr>
            <w:tcW w:w="999" w:type="pct"/>
          </w:tcPr>
          <w:p w14:paraId="5D34AB0E" w14:textId="1DB2A290" w:rsidR="000146E7" w:rsidRPr="004A2C2D" w:rsidRDefault="000146E7" w:rsidP="000146E7">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lang w:val="en-GB"/>
              </w:rPr>
            </w:pPr>
            <w:r>
              <w:rPr>
                <w:rFonts w:cs="Times New Roman"/>
                <w:b/>
                <w:sz w:val="20"/>
                <w:szCs w:val="20"/>
                <w:lang w:val="en-GB"/>
              </w:rPr>
              <w:t>C</w:t>
            </w:r>
            <w:r w:rsidR="007F650B">
              <w:rPr>
                <w:rFonts w:cs="Times New Roman"/>
                <w:b/>
                <w:sz w:val="20"/>
                <w:szCs w:val="20"/>
                <w:lang w:val="en-GB"/>
              </w:rPr>
              <w:t>A</w:t>
            </w:r>
            <w:r>
              <w:rPr>
                <w:rFonts w:cs="Times New Roman"/>
                <w:b/>
                <w:sz w:val="20"/>
                <w:szCs w:val="20"/>
                <w:lang w:val="en-GB"/>
              </w:rPr>
              <w:t>+E</w:t>
            </w:r>
          </w:p>
        </w:tc>
      </w:tr>
      <w:tr w:rsidR="000146E7" w:rsidRPr="00B53119" w14:paraId="4A4B4F23" w14:textId="77777777" w:rsidTr="00A5127C">
        <w:trPr>
          <w:trHeight w:val="1545"/>
        </w:trPr>
        <w:tc>
          <w:tcPr>
            <w:cnfStyle w:val="001000000000" w:firstRow="0" w:lastRow="0" w:firstColumn="1" w:lastColumn="0" w:oddVBand="0" w:evenVBand="0" w:oddHBand="0" w:evenHBand="0" w:firstRowFirstColumn="0" w:firstRowLastColumn="0" w:lastRowFirstColumn="0" w:lastRowLastColumn="0"/>
            <w:tcW w:w="1297" w:type="pct"/>
            <w:vMerge/>
          </w:tcPr>
          <w:p w14:paraId="51F4AB4A" w14:textId="77777777" w:rsidR="000146E7" w:rsidRPr="00614735" w:rsidRDefault="000146E7" w:rsidP="000146E7">
            <w:pPr>
              <w:rPr>
                <w:rFonts w:cs="Times New Roman"/>
                <w:sz w:val="20"/>
                <w:szCs w:val="20"/>
                <w:lang w:val="en-GB"/>
              </w:rPr>
            </w:pPr>
          </w:p>
        </w:tc>
        <w:tc>
          <w:tcPr>
            <w:tcW w:w="995" w:type="pct"/>
            <w:vMerge/>
          </w:tcPr>
          <w:p w14:paraId="325C0C0D" w14:textId="77777777" w:rsidR="000146E7" w:rsidRPr="00614735" w:rsidRDefault="000146E7" w:rsidP="000146E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p>
        </w:tc>
        <w:tc>
          <w:tcPr>
            <w:tcW w:w="710" w:type="pct"/>
          </w:tcPr>
          <w:p w14:paraId="10472438" w14:textId="4BCEF259" w:rsidR="000146E7" w:rsidRPr="009211AB" w:rsidRDefault="00AA4A9C" w:rsidP="000146E7">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fr-BE"/>
              </w:rPr>
            </w:pPr>
            <w:r>
              <w:rPr>
                <w:rFonts w:cs="Times New Roman"/>
                <w:b/>
                <w:sz w:val="20"/>
                <w:szCs w:val="20"/>
                <w:lang w:val="fr-BE"/>
              </w:rPr>
              <w:t>Breast t</w:t>
            </w:r>
            <w:r w:rsidR="000146E7" w:rsidRPr="009211AB">
              <w:rPr>
                <w:rFonts w:cs="Times New Roman"/>
                <w:b/>
                <w:sz w:val="20"/>
                <w:szCs w:val="20"/>
                <w:lang w:val="fr-BE"/>
              </w:rPr>
              <w:t>enderness</w:t>
            </w:r>
          </w:p>
          <w:p w14:paraId="1445357D" w14:textId="77777777" w:rsidR="000146E7" w:rsidRPr="009211AB" w:rsidRDefault="000146E7" w:rsidP="000146E7">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fr-BE"/>
              </w:rPr>
            </w:pPr>
            <w:r w:rsidRPr="009211AB">
              <w:rPr>
                <w:rFonts w:cs="Times New Roman"/>
                <w:b/>
                <w:sz w:val="20"/>
                <w:szCs w:val="20"/>
                <w:lang w:val="fr-BE"/>
              </w:rPr>
              <w:t>Emotionality</w:t>
            </w:r>
          </w:p>
          <w:p w14:paraId="3E21B847" w14:textId="77777777" w:rsidR="000146E7" w:rsidRPr="009211AB" w:rsidRDefault="000146E7" w:rsidP="000146E7">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fr-BE"/>
              </w:rPr>
            </w:pPr>
            <w:r w:rsidRPr="009211AB">
              <w:rPr>
                <w:rFonts w:cs="Times New Roman"/>
                <w:b/>
                <w:sz w:val="20"/>
                <w:szCs w:val="20"/>
                <w:lang w:val="fr-BE"/>
              </w:rPr>
              <w:t>Hunger</w:t>
            </w:r>
          </w:p>
          <w:p w14:paraId="2EA75AA7" w14:textId="77777777" w:rsidR="000146E7" w:rsidRDefault="000146E7" w:rsidP="000146E7">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fr-BE"/>
              </w:rPr>
            </w:pPr>
            <w:r w:rsidRPr="009211AB">
              <w:rPr>
                <w:rFonts w:cs="Times New Roman"/>
                <w:b/>
                <w:sz w:val="20"/>
                <w:szCs w:val="20"/>
                <w:lang w:val="fr-BE"/>
              </w:rPr>
              <w:t>Fatigue</w:t>
            </w:r>
          </w:p>
          <w:p w14:paraId="654D90DB" w14:textId="77777777" w:rsidR="000146E7" w:rsidRPr="009211AB" w:rsidRDefault="000146E7" w:rsidP="000146E7">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fr-BE"/>
              </w:rPr>
            </w:pPr>
            <w:r>
              <w:rPr>
                <w:rFonts w:cs="Times New Roman"/>
                <w:b/>
                <w:sz w:val="20"/>
                <w:szCs w:val="20"/>
                <w:lang w:val="fr-BE"/>
              </w:rPr>
              <w:t>Flushes</w:t>
            </w:r>
          </w:p>
        </w:tc>
        <w:tc>
          <w:tcPr>
            <w:tcW w:w="999" w:type="pct"/>
          </w:tcPr>
          <w:p w14:paraId="5006C7B2" w14:textId="2C824192" w:rsidR="00AA4A9C" w:rsidRDefault="00B036E0" w:rsidP="000146E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Pr>
                <w:rFonts w:cs="Times New Roman"/>
                <w:sz w:val="20"/>
                <w:szCs w:val="20"/>
                <w:lang w:val="en-GB"/>
              </w:rPr>
              <w:t xml:space="preserve">        </w:t>
            </w:r>
            <w:r w:rsidR="00830F6B">
              <w:rPr>
                <w:rFonts w:cs="Times New Roman"/>
                <w:sz w:val="20"/>
                <w:szCs w:val="20"/>
                <w:lang w:val="en-GB"/>
              </w:rPr>
              <w:t>2/25 (8</w:t>
            </w:r>
            <w:r w:rsidR="00D7523D">
              <w:rPr>
                <w:rFonts w:cs="Times New Roman"/>
                <w:sz w:val="20"/>
                <w:szCs w:val="20"/>
                <w:lang w:val="en-GB"/>
              </w:rPr>
              <w:t>%)</w:t>
            </w:r>
          </w:p>
          <w:p w14:paraId="3ABD059F" w14:textId="77777777" w:rsidR="00D7523D" w:rsidRDefault="00D7523D" w:rsidP="000146E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p>
          <w:p w14:paraId="03D7755B" w14:textId="3EE33E9F" w:rsidR="000146E7" w:rsidRDefault="00B036E0" w:rsidP="000146E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Pr>
                <w:rFonts w:cs="Times New Roman"/>
                <w:sz w:val="20"/>
                <w:szCs w:val="20"/>
                <w:lang w:val="en-GB"/>
              </w:rPr>
              <w:t xml:space="preserve">        </w:t>
            </w:r>
            <w:r w:rsidR="00830F6B">
              <w:rPr>
                <w:rFonts w:cs="Times New Roman"/>
                <w:sz w:val="20"/>
                <w:szCs w:val="20"/>
                <w:lang w:val="en-GB"/>
              </w:rPr>
              <w:t>2/25 (8</w:t>
            </w:r>
            <w:r w:rsidR="000146E7">
              <w:rPr>
                <w:rFonts w:cs="Times New Roman"/>
                <w:sz w:val="20"/>
                <w:szCs w:val="20"/>
                <w:lang w:val="en-GB"/>
              </w:rPr>
              <w:t>%)</w:t>
            </w:r>
          </w:p>
          <w:p w14:paraId="7BBDC3C0" w14:textId="41578271" w:rsidR="000146E7" w:rsidRDefault="00B036E0" w:rsidP="000146E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Pr>
                <w:rFonts w:cs="Times New Roman"/>
                <w:sz w:val="20"/>
                <w:szCs w:val="20"/>
                <w:lang w:val="en-GB"/>
              </w:rPr>
              <w:t xml:space="preserve">        </w:t>
            </w:r>
            <w:r w:rsidR="000146E7">
              <w:rPr>
                <w:rFonts w:cs="Times New Roman"/>
                <w:sz w:val="20"/>
                <w:szCs w:val="20"/>
                <w:lang w:val="en-GB"/>
              </w:rPr>
              <w:t>0/25 (0%)</w:t>
            </w:r>
          </w:p>
          <w:p w14:paraId="3A0B9696" w14:textId="2EF40B71" w:rsidR="000146E7" w:rsidRDefault="00B036E0" w:rsidP="000146E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Pr>
                <w:rFonts w:cs="Times New Roman"/>
                <w:sz w:val="20"/>
                <w:szCs w:val="20"/>
                <w:lang w:val="en-GB"/>
              </w:rPr>
              <w:t xml:space="preserve">        </w:t>
            </w:r>
            <w:r w:rsidR="00830F6B">
              <w:rPr>
                <w:rFonts w:cs="Times New Roman"/>
                <w:sz w:val="20"/>
                <w:szCs w:val="20"/>
                <w:lang w:val="en-GB"/>
              </w:rPr>
              <w:t>8/25 (32</w:t>
            </w:r>
            <w:r w:rsidR="000146E7">
              <w:rPr>
                <w:rFonts w:cs="Times New Roman"/>
                <w:sz w:val="20"/>
                <w:szCs w:val="20"/>
                <w:lang w:val="en-GB"/>
              </w:rPr>
              <w:t>%)</w:t>
            </w:r>
          </w:p>
          <w:p w14:paraId="699CB974" w14:textId="54868C70" w:rsidR="000146E7" w:rsidRPr="00614735" w:rsidRDefault="00B036E0" w:rsidP="00830F6B">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Pr>
                <w:rFonts w:cs="Times New Roman"/>
                <w:sz w:val="20"/>
                <w:szCs w:val="20"/>
                <w:lang w:val="en-GB"/>
              </w:rPr>
              <w:t xml:space="preserve">        </w:t>
            </w:r>
            <w:r w:rsidR="00830F6B">
              <w:rPr>
                <w:rFonts w:cs="Times New Roman"/>
                <w:sz w:val="20"/>
                <w:szCs w:val="20"/>
                <w:lang w:val="en-GB"/>
              </w:rPr>
              <w:t>1/25 (4</w:t>
            </w:r>
            <w:r w:rsidR="000146E7">
              <w:rPr>
                <w:rFonts w:cs="Times New Roman"/>
                <w:sz w:val="20"/>
                <w:szCs w:val="20"/>
                <w:lang w:val="en-GB"/>
              </w:rPr>
              <w:t>%)</w:t>
            </w:r>
          </w:p>
        </w:tc>
        <w:tc>
          <w:tcPr>
            <w:tcW w:w="999" w:type="pct"/>
          </w:tcPr>
          <w:p w14:paraId="3C83837D" w14:textId="4090E56C" w:rsidR="000146E7" w:rsidRDefault="00B036E0" w:rsidP="000146E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Pr>
                <w:rFonts w:cs="Times New Roman"/>
                <w:sz w:val="20"/>
                <w:szCs w:val="20"/>
                <w:lang w:val="en-GB"/>
              </w:rPr>
              <w:t xml:space="preserve">      </w:t>
            </w:r>
            <w:r w:rsidR="000146E7">
              <w:rPr>
                <w:rFonts w:cs="Times New Roman"/>
                <w:sz w:val="20"/>
                <w:szCs w:val="20"/>
                <w:lang w:val="en-GB"/>
              </w:rPr>
              <w:t>8/1</w:t>
            </w:r>
            <w:r w:rsidR="00A27634">
              <w:rPr>
                <w:rFonts w:cs="Times New Roman"/>
                <w:sz w:val="20"/>
                <w:szCs w:val="20"/>
                <w:lang w:val="en-GB"/>
              </w:rPr>
              <w:t>7</w:t>
            </w:r>
            <w:r w:rsidR="00830F6B">
              <w:rPr>
                <w:rFonts w:cs="Times New Roman"/>
                <w:sz w:val="20"/>
                <w:szCs w:val="20"/>
                <w:lang w:val="en-GB"/>
              </w:rPr>
              <w:t xml:space="preserve"> (47,1</w:t>
            </w:r>
            <w:r w:rsidR="000146E7">
              <w:rPr>
                <w:rFonts w:cs="Times New Roman"/>
                <w:sz w:val="20"/>
                <w:szCs w:val="20"/>
                <w:lang w:val="en-GB"/>
              </w:rPr>
              <w:t>%)</w:t>
            </w:r>
          </w:p>
          <w:p w14:paraId="2F27C870" w14:textId="77777777" w:rsidR="00AA4A9C" w:rsidRDefault="00AA4A9C" w:rsidP="000146E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p>
          <w:p w14:paraId="1C581EEA" w14:textId="6A1D348A" w:rsidR="000146E7" w:rsidRDefault="00B036E0" w:rsidP="000146E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Pr>
                <w:rFonts w:cs="Times New Roman"/>
                <w:sz w:val="20"/>
                <w:szCs w:val="20"/>
                <w:lang w:val="en-GB"/>
              </w:rPr>
              <w:t xml:space="preserve">      </w:t>
            </w:r>
            <w:r w:rsidR="00A27634">
              <w:rPr>
                <w:rFonts w:cs="Times New Roman"/>
                <w:sz w:val="20"/>
                <w:szCs w:val="20"/>
                <w:lang w:val="en-GB"/>
              </w:rPr>
              <w:t>4/17</w:t>
            </w:r>
            <w:r w:rsidR="00830F6B">
              <w:rPr>
                <w:rFonts w:cs="Times New Roman"/>
                <w:sz w:val="20"/>
                <w:szCs w:val="20"/>
                <w:lang w:val="en-GB"/>
              </w:rPr>
              <w:t xml:space="preserve"> (23,5</w:t>
            </w:r>
            <w:r w:rsidR="000146E7">
              <w:rPr>
                <w:rFonts w:cs="Times New Roman"/>
                <w:sz w:val="20"/>
                <w:szCs w:val="20"/>
                <w:lang w:val="en-GB"/>
              </w:rPr>
              <w:t>%)</w:t>
            </w:r>
          </w:p>
          <w:p w14:paraId="7BA6BBF0" w14:textId="5CCE8322" w:rsidR="000146E7" w:rsidRDefault="00B036E0" w:rsidP="000146E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Pr>
                <w:rFonts w:cs="Times New Roman"/>
                <w:sz w:val="20"/>
                <w:szCs w:val="20"/>
                <w:lang w:val="en-GB"/>
              </w:rPr>
              <w:t xml:space="preserve">      </w:t>
            </w:r>
            <w:r w:rsidR="00A27634">
              <w:rPr>
                <w:rFonts w:cs="Times New Roman"/>
                <w:sz w:val="20"/>
                <w:szCs w:val="20"/>
                <w:lang w:val="en-GB"/>
              </w:rPr>
              <w:t>4/17</w:t>
            </w:r>
            <w:r w:rsidR="000146E7">
              <w:rPr>
                <w:rFonts w:cs="Times New Roman"/>
                <w:sz w:val="20"/>
                <w:szCs w:val="20"/>
                <w:lang w:val="en-GB"/>
              </w:rPr>
              <w:t xml:space="preserve"> (</w:t>
            </w:r>
            <w:r w:rsidR="00830F6B">
              <w:rPr>
                <w:rFonts w:cs="Times New Roman"/>
                <w:sz w:val="20"/>
                <w:szCs w:val="20"/>
                <w:lang w:val="en-GB"/>
              </w:rPr>
              <w:t>23,5</w:t>
            </w:r>
            <w:r w:rsidR="000146E7">
              <w:rPr>
                <w:rFonts w:cs="Times New Roman"/>
                <w:sz w:val="20"/>
                <w:szCs w:val="20"/>
                <w:lang w:val="en-GB"/>
              </w:rPr>
              <w:t>%)</w:t>
            </w:r>
          </w:p>
          <w:p w14:paraId="4684EA96" w14:textId="2594C288" w:rsidR="000146E7" w:rsidRDefault="00B036E0" w:rsidP="000146E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Pr>
                <w:rFonts w:cs="Times New Roman"/>
                <w:sz w:val="20"/>
                <w:szCs w:val="20"/>
                <w:lang w:val="en-GB"/>
              </w:rPr>
              <w:t xml:space="preserve">      </w:t>
            </w:r>
            <w:r w:rsidR="00A27634">
              <w:rPr>
                <w:rFonts w:cs="Times New Roman"/>
                <w:sz w:val="20"/>
                <w:szCs w:val="20"/>
                <w:lang w:val="en-GB"/>
              </w:rPr>
              <w:t>2/17</w:t>
            </w:r>
            <w:r w:rsidR="000146E7">
              <w:rPr>
                <w:rFonts w:cs="Times New Roman"/>
                <w:sz w:val="20"/>
                <w:szCs w:val="20"/>
                <w:lang w:val="en-GB"/>
              </w:rPr>
              <w:t xml:space="preserve"> (</w:t>
            </w:r>
            <w:r w:rsidR="00830F6B">
              <w:rPr>
                <w:rFonts w:cs="Times New Roman"/>
                <w:sz w:val="20"/>
                <w:szCs w:val="20"/>
                <w:lang w:val="en-GB"/>
              </w:rPr>
              <w:t>11,8</w:t>
            </w:r>
            <w:r w:rsidR="000146E7">
              <w:rPr>
                <w:rFonts w:cs="Times New Roman"/>
                <w:sz w:val="20"/>
                <w:szCs w:val="20"/>
                <w:lang w:val="en-GB"/>
              </w:rPr>
              <w:t>%)</w:t>
            </w:r>
          </w:p>
          <w:p w14:paraId="742854D4" w14:textId="3FB90CCA" w:rsidR="000146E7" w:rsidRPr="00614735" w:rsidRDefault="00B036E0" w:rsidP="00830F6B">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Pr>
                <w:rFonts w:cs="Times New Roman"/>
                <w:sz w:val="20"/>
                <w:szCs w:val="20"/>
                <w:lang w:val="en-GB"/>
              </w:rPr>
              <w:t xml:space="preserve">      </w:t>
            </w:r>
            <w:r w:rsidR="00A27634">
              <w:rPr>
                <w:rFonts w:cs="Times New Roman"/>
                <w:sz w:val="20"/>
                <w:szCs w:val="20"/>
                <w:lang w:val="en-GB"/>
              </w:rPr>
              <w:t>2/17</w:t>
            </w:r>
            <w:r w:rsidR="000146E7">
              <w:rPr>
                <w:rFonts w:cs="Times New Roman"/>
                <w:sz w:val="20"/>
                <w:szCs w:val="20"/>
                <w:lang w:val="en-GB"/>
              </w:rPr>
              <w:t xml:space="preserve"> (1</w:t>
            </w:r>
            <w:r w:rsidR="00830F6B">
              <w:rPr>
                <w:rFonts w:cs="Times New Roman"/>
                <w:sz w:val="20"/>
                <w:szCs w:val="20"/>
                <w:lang w:val="en-GB"/>
              </w:rPr>
              <w:t>1,8</w:t>
            </w:r>
            <w:r w:rsidR="000146E7">
              <w:rPr>
                <w:rFonts w:cs="Times New Roman"/>
                <w:sz w:val="20"/>
                <w:szCs w:val="20"/>
                <w:lang w:val="en-GB"/>
              </w:rPr>
              <w:t>%)</w:t>
            </w:r>
          </w:p>
        </w:tc>
      </w:tr>
      <w:tr w:rsidR="000146E7" w:rsidRPr="00B53119" w14:paraId="50B12CD0" w14:textId="77777777" w:rsidTr="00A51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pct"/>
          </w:tcPr>
          <w:p w14:paraId="4627D0F3" w14:textId="77777777" w:rsidR="000146E7" w:rsidRPr="004A2C2D" w:rsidRDefault="000146E7" w:rsidP="000146E7">
            <w:pPr>
              <w:jc w:val="center"/>
              <w:rPr>
                <w:rFonts w:cs="Times New Roman"/>
                <w:b w:val="0"/>
                <w:sz w:val="20"/>
                <w:szCs w:val="20"/>
                <w:lang w:val="en-GB"/>
              </w:rPr>
            </w:pPr>
            <w:r w:rsidRPr="004A2C2D">
              <w:rPr>
                <w:rFonts w:cs="Times New Roman"/>
                <w:b w:val="0"/>
                <w:sz w:val="20"/>
                <w:szCs w:val="20"/>
                <w:lang w:val="en-GB"/>
              </w:rPr>
              <w:t>Smoking</w:t>
            </w:r>
          </w:p>
        </w:tc>
        <w:tc>
          <w:tcPr>
            <w:tcW w:w="995" w:type="pct"/>
          </w:tcPr>
          <w:p w14:paraId="0087CEF3" w14:textId="77777777" w:rsidR="000146E7" w:rsidRPr="004A2C2D" w:rsidRDefault="000146E7" w:rsidP="000146E7">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lang w:val="en-GB"/>
              </w:rPr>
            </w:pPr>
            <w:r w:rsidRPr="004A2C2D">
              <w:rPr>
                <w:rFonts w:cs="Times New Roman"/>
                <w:b/>
                <w:sz w:val="20"/>
                <w:szCs w:val="20"/>
                <w:lang w:val="en-GB"/>
              </w:rPr>
              <w:t>Alcohol</w:t>
            </w:r>
          </w:p>
        </w:tc>
        <w:tc>
          <w:tcPr>
            <w:tcW w:w="710" w:type="pct"/>
          </w:tcPr>
          <w:p w14:paraId="751AFD7E" w14:textId="77777777" w:rsidR="000146E7" w:rsidRPr="004A2C2D" w:rsidRDefault="00A44149" w:rsidP="000146E7">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GB"/>
              </w:rPr>
            </w:pPr>
            <w:r>
              <w:rPr>
                <w:rFonts w:cs="Times New Roman"/>
                <w:b/>
                <w:sz w:val="20"/>
                <w:szCs w:val="20"/>
                <w:lang w:val="en-GB"/>
              </w:rPr>
              <w:t>E</w:t>
            </w:r>
            <w:r w:rsidR="000146E7">
              <w:rPr>
                <w:rFonts w:cs="Times New Roman"/>
                <w:b/>
                <w:sz w:val="20"/>
                <w:szCs w:val="20"/>
                <w:lang w:val="en-GB"/>
              </w:rPr>
              <w:t>ffect</w:t>
            </w:r>
          </w:p>
        </w:tc>
        <w:tc>
          <w:tcPr>
            <w:tcW w:w="999" w:type="pct"/>
          </w:tcPr>
          <w:p w14:paraId="277BB3FA" w14:textId="77777777" w:rsidR="000146E7" w:rsidRPr="004A2C2D" w:rsidRDefault="000146E7" w:rsidP="000146E7">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lang w:val="en-GB"/>
              </w:rPr>
            </w:pPr>
            <w:r>
              <w:rPr>
                <w:rFonts w:cs="Times New Roman"/>
                <w:b/>
                <w:sz w:val="20"/>
                <w:szCs w:val="20"/>
                <w:lang w:val="en-GB"/>
              </w:rPr>
              <w:t>CA</w:t>
            </w:r>
          </w:p>
        </w:tc>
        <w:tc>
          <w:tcPr>
            <w:tcW w:w="999" w:type="pct"/>
          </w:tcPr>
          <w:p w14:paraId="4FB43DBC" w14:textId="6E1F3B2A" w:rsidR="000146E7" w:rsidRPr="004A2C2D" w:rsidRDefault="000146E7" w:rsidP="000146E7">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lang w:val="en-GB"/>
              </w:rPr>
            </w:pPr>
            <w:r>
              <w:rPr>
                <w:rFonts w:cs="Times New Roman"/>
                <w:b/>
                <w:sz w:val="20"/>
                <w:szCs w:val="20"/>
                <w:lang w:val="en-GB"/>
              </w:rPr>
              <w:t>C</w:t>
            </w:r>
            <w:r w:rsidR="007F650B">
              <w:rPr>
                <w:rFonts w:cs="Times New Roman"/>
                <w:b/>
                <w:sz w:val="20"/>
                <w:szCs w:val="20"/>
                <w:lang w:val="en-GB"/>
              </w:rPr>
              <w:t>A</w:t>
            </w:r>
            <w:r>
              <w:rPr>
                <w:rFonts w:cs="Times New Roman"/>
                <w:b/>
                <w:sz w:val="20"/>
                <w:szCs w:val="20"/>
                <w:lang w:val="en-GB"/>
              </w:rPr>
              <w:t>+E</w:t>
            </w:r>
          </w:p>
        </w:tc>
      </w:tr>
      <w:tr w:rsidR="000146E7" w:rsidRPr="00B53119" w14:paraId="2B7E7E6E" w14:textId="77777777" w:rsidTr="00A5127C">
        <w:trPr>
          <w:trHeight w:val="488"/>
        </w:trPr>
        <w:tc>
          <w:tcPr>
            <w:cnfStyle w:val="001000000000" w:firstRow="0" w:lastRow="0" w:firstColumn="1" w:lastColumn="0" w:oddVBand="0" w:evenVBand="0" w:oddHBand="0" w:evenHBand="0" w:firstRowFirstColumn="0" w:firstRowLastColumn="0" w:lastRowFirstColumn="0" w:lastRowLastColumn="0"/>
            <w:tcW w:w="1297" w:type="pct"/>
            <w:vMerge w:val="restart"/>
          </w:tcPr>
          <w:p w14:paraId="38110766" w14:textId="77777777" w:rsidR="000146E7" w:rsidRPr="00614735" w:rsidRDefault="000146E7" w:rsidP="000146E7">
            <w:pPr>
              <w:rPr>
                <w:rFonts w:cs="Times New Roman"/>
                <w:sz w:val="20"/>
                <w:szCs w:val="20"/>
                <w:lang w:val="en-GB"/>
              </w:rPr>
            </w:pPr>
            <w:r>
              <w:rPr>
                <w:rFonts w:cs="Times New Roman"/>
                <w:sz w:val="20"/>
                <w:szCs w:val="20"/>
                <w:lang w:val="en-GB"/>
              </w:rPr>
              <w:t>No: 20</w:t>
            </w:r>
            <w:r w:rsidRPr="00614735">
              <w:rPr>
                <w:rFonts w:cs="Times New Roman"/>
                <w:sz w:val="20"/>
                <w:szCs w:val="20"/>
                <w:lang w:val="en-GB"/>
              </w:rPr>
              <w:t>/</w:t>
            </w:r>
            <w:r>
              <w:rPr>
                <w:rFonts w:cs="Times New Roman"/>
                <w:sz w:val="20"/>
                <w:szCs w:val="20"/>
                <w:lang w:val="en-GB"/>
              </w:rPr>
              <w:t>27</w:t>
            </w:r>
            <w:r w:rsidRPr="00614735">
              <w:rPr>
                <w:rFonts w:cs="Times New Roman"/>
                <w:sz w:val="20"/>
                <w:szCs w:val="20"/>
                <w:lang w:val="en-GB"/>
              </w:rPr>
              <w:t xml:space="preserve"> (</w:t>
            </w:r>
            <w:r>
              <w:rPr>
                <w:rFonts w:cs="Times New Roman"/>
                <w:sz w:val="20"/>
                <w:szCs w:val="20"/>
                <w:lang w:val="en-GB"/>
              </w:rPr>
              <w:t>74,1</w:t>
            </w:r>
            <w:r w:rsidRPr="00614735">
              <w:rPr>
                <w:rFonts w:cs="Times New Roman"/>
                <w:sz w:val="20"/>
                <w:szCs w:val="20"/>
                <w:lang w:val="en-GB"/>
              </w:rPr>
              <w:t>%)</w:t>
            </w:r>
          </w:p>
          <w:p w14:paraId="005593BF" w14:textId="77777777" w:rsidR="000146E7" w:rsidRPr="00614735" w:rsidRDefault="00266986" w:rsidP="000146E7">
            <w:pPr>
              <w:rPr>
                <w:rFonts w:cs="Times New Roman"/>
                <w:sz w:val="20"/>
                <w:szCs w:val="20"/>
                <w:lang w:val="en-GB"/>
              </w:rPr>
            </w:pPr>
            <w:r>
              <w:rPr>
                <w:rFonts w:cs="Times New Roman"/>
                <w:sz w:val="20"/>
                <w:szCs w:val="20"/>
                <w:lang w:val="en-GB"/>
              </w:rPr>
              <w:t>Y</w:t>
            </w:r>
            <w:r w:rsidR="000146E7">
              <w:rPr>
                <w:rFonts w:cs="Times New Roman"/>
                <w:sz w:val="20"/>
                <w:szCs w:val="20"/>
                <w:lang w:val="en-GB"/>
              </w:rPr>
              <w:t>es</w:t>
            </w:r>
            <w:r w:rsidR="000146E7" w:rsidRPr="00614735">
              <w:rPr>
                <w:rFonts w:cs="Times New Roman"/>
                <w:sz w:val="20"/>
                <w:szCs w:val="20"/>
                <w:lang w:val="en-GB"/>
              </w:rPr>
              <w:t xml:space="preserve">: </w:t>
            </w:r>
            <w:r w:rsidR="000146E7">
              <w:rPr>
                <w:rFonts w:cs="Times New Roman"/>
                <w:sz w:val="20"/>
                <w:szCs w:val="20"/>
                <w:lang w:val="en-GB"/>
              </w:rPr>
              <w:t>7</w:t>
            </w:r>
            <w:r w:rsidR="000146E7" w:rsidRPr="00614735">
              <w:rPr>
                <w:rFonts w:cs="Times New Roman"/>
                <w:sz w:val="20"/>
                <w:szCs w:val="20"/>
                <w:lang w:val="en-GB"/>
              </w:rPr>
              <w:t>/</w:t>
            </w:r>
            <w:r w:rsidR="000146E7">
              <w:rPr>
                <w:rFonts w:cs="Times New Roman"/>
                <w:sz w:val="20"/>
                <w:szCs w:val="20"/>
                <w:lang w:val="en-GB"/>
              </w:rPr>
              <w:t>27</w:t>
            </w:r>
            <w:r w:rsidR="000146E7" w:rsidRPr="00614735">
              <w:rPr>
                <w:rFonts w:cs="Times New Roman"/>
                <w:sz w:val="20"/>
                <w:szCs w:val="20"/>
                <w:lang w:val="en-GB"/>
              </w:rPr>
              <w:t xml:space="preserve"> (</w:t>
            </w:r>
            <w:r w:rsidR="000146E7">
              <w:rPr>
                <w:rFonts w:cs="Times New Roman"/>
                <w:sz w:val="20"/>
                <w:szCs w:val="20"/>
                <w:lang w:val="en-GB"/>
              </w:rPr>
              <w:t>25,9</w:t>
            </w:r>
            <w:r w:rsidR="000146E7" w:rsidRPr="00614735">
              <w:rPr>
                <w:rFonts w:cs="Times New Roman"/>
                <w:sz w:val="20"/>
                <w:szCs w:val="20"/>
                <w:lang w:val="en-GB"/>
              </w:rPr>
              <w:t>%)</w:t>
            </w:r>
          </w:p>
          <w:p w14:paraId="6E11C8FF" w14:textId="77777777" w:rsidR="000146E7" w:rsidRPr="00614735" w:rsidRDefault="000146E7" w:rsidP="000146E7">
            <w:pPr>
              <w:rPr>
                <w:rFonts w:cs="Times New Roman"/>
                <w:sz w:val="20"/>
                <w:szCs w:val="20"/>
                <w:lang w:val="en-GB"/>
              </w:rPr>
            </w:pPr>
            <w:r w:rsidRPr="00614735">
              <w:rPr>
                <w:rFonts w:cs="Times New Roman"/>
                <w:sz w:val="20"/>
                <w:szCs w:val="20"/>
                <w:lang w:val="en-GB"/>
              </w:rPr>
              <w:t xml:space="preserve">High: </w:t>
            </w:r>
            <w:r>
              <w:rPr>
                <w:rFonts w:cs="Times New Roman"/>
                <w:sz w:val="20"/>
                <w:szCs w:val="20"/>
                <w:lang w:val="en-GB"/>
              </w:rPr>
              <w:t>2</w:t>
            </w:r>
            <w:r w:rsidRPr="00614735">
              <w:rPr>
                <w:rFonts w:cs="Times New Roman"/>
                <w:sz w:val="20"/>
                <w:szCs w:val="20"/>
                <w:lang w:val="en-GB"/>
              </w:rPr>
              <w:t>/</w:t>
            </w:r>
            <w:r>
              <w:rPr>
                <w:rFonts w:cs="Times New Roman"/>
                <w:sz w:val="20"/>
                <w:szCs w:val="20"/>
                <w:lang w:val="en-GB"/>
              </w:rPr>
              <w:t>27</w:t>
            </w:r>
            <w:r w:rsidRPr="00614735">
              <w:rPr>
                <w:rFonts w:cs="Times New Roman"/>
                <w:sz w:val="20"/>
                <w:szCs w:val="20"/>
                <w:lang w:val="en-GB"/>
              </w:rPr>
              <w:t xml:space="preserve"> (</w:t>
            </w:r>
            <w:r>
              <w:rPr>
                <w:rFonts w:cs="Times New Roman"/>
                <w:sz w:val="20"/>
                <w:szCs w:val="20"/>
                <w:lang w:val="en-GB"/>
              </w:rPr>
              <w:t>7,4</w:t>
            </w:r>
            <w:r w:rsidRPr="00614735">
              <w:rPr>
                <w:rFonts w:cs="Times New Roman"/>
                <w:sz w:val="20"/>
                <w:szCs w:val="20"/>
                <w:lang w:val="en-GB"/>
              </w:rPr>
              <w:t>%)</w:t>
            </w:r>
          </w:p>
        </w:tc>
        <w:tc>
          <w:tcPr>
            <w:tcW w:w="995" w:type="pct"/>
            <w:vMerge w:val="restart"/>
          </w:tcPr>
          <w:p w14:paraId="3B58CAD6" w14:textId="77777777" w:rsidR="000146E7" w:rsidRPr="00614735" w:rsidRDefault="000146E7" w:rsidP="000146E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Pr>
                <w:rFonts w:cs="Times New Roman"/>
                <w:sz w:val="20"/>
                <w:szCs w:val="20"/>
                <w:lang w:val="en-GB"/>
              </w:rPr>
              <w:t>No: 16</w:t>
            </w:r>
            <w:r w:rsidRPr="00614735">
              <w:rPr>
                <w:rFonts w:cs="Times New Roman"/>
                <w:sz w:val="20"/>
                <w:szCs w:val="20"/>
                <w:lang w:val="en-GB"/>
              </w:rPr>
              <w:t>/</w:t>
            </w:r>
            <w:r>
              <w:rPr>
                <w:rFonts w:cs="Times New Roman"/>
                <w:sz w:val="20"/>
                <w:szCs w:val="20"/>
                <w:lang w:val="en-GB"/>
              </w:rPr>
              <w:t>27</w:t>
            </w:r>
            <w:r w:rsidRPr="00614735">
              <w:rPr>
                <w:rFonts w:cs="Times New Roman"/>
                <w:sz w:val="20"/>
                <w:szCs w:val="20"/>
                <w:lang w:val="en-GB"/>
              </w:rPr>
              <w:t xml:space="preserve"> (</w:t>
            </w:r>
            <w:r>
              <w:rPr>
                <w:rFonts w:cs="Times New Roman"/>
                <w:sz w:val="20"/>
                <w:szCs w:val="20"/>
                <w:lang w:val="en-GB"/>
              </w:rPr>
              <w:t>59,3</w:t>
            </w:r>
            <w:r w:rsidRPr="00614735">
              <w:rPr>
                <w:rFonts w:cs="Times New Roman"/>
                <w:sz w:val="20"/>
                <w:szCs w:val="20"/>
                <w:lang w:val="en-GB"/>
              </w:rPr>
              <w:t>%)</w:t>
            </w:r>
          </w:p>
          <w:p w14:paraId="586A40B1" w14:textId="77777777" w:rsidR="000146E7" w:rsidRDefault="000146E7" w:rsidP="000146E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Pr>
                <w:rFonts w:cs="Times New Roman"/>
                <w:sz w:val="20"/>
                <w:szCs w:val="20"/>
                <w:lang w:val="en-GB"/>
              </w:rPr>
              <w:t>Yes</w:t>
            </w:r>
            <w:r w:rsidRPr="00614735">
              <w:rPr>
                <w:rFonts w:cs="Times New Roman"/>
                <w:sz w:val="20"/>
                <w:szCs w:val="20"/>
                <w:lang w:val="en-GB"/>
              </w:rPr>
              <w:t xml:space="preserve">: </w:t>
            </w:r>
            <w:r>
              <w:rPr>
                <w:rFonts w:cs="Times New Roman"/>
                <w:sz w:val="20"/>
                <w:szCs w:val="20"/>
                <w:lang w:val="en-GB"/>
              </w:rPr>
              <w:t>11</w:t>
            </w:r>
            <w:r w:rsidRPr="00614735">
              <w:rPr>
                <w:rFonts w:cs="Times New Roman"/>
                <w:sz w:val="20"/>
                <w:szCs w:val="20"/>
                <w:lang w:val="en-GB"/>
              </w:rPr>
              <w:t>/</w:t>
            </w:r>
            <w:r>
              <w:rPr>
                <w:rFonts w:cs="Times New Roman"/>
                <w:sz w:val="20"/>
                <w:szCs w:val="20"/>
                <w:lang w:val="en-GB"/>
              </w:rPr>
              <w:t>27</w:t>
            </w:r>
            <w:r w:rsidRPr="00614735">
              <w:rPr>
                <w:rFonts w:cs="Times New Roman"/>
                <w:sz w:val="20"/>
                <w:szCs w:val="20"/>
                <w:lang w:val="en-GB"/>
              </w:rPr>
              <w:t xml:space="preserve"> (</w:t>
            </w:r>
            <w:r>
              <w:rPr>
                <w:rFonts w:cs="Times New Roman"/>
                <w:sz w:val="20"/>
                <w:szCs w:val="20"/>
                <w:lang w:val="en-GB"/>
              </w:rPr>
              <w:t>40,7</w:t>
            </w:r>
            <w:r w:rsidRPr="00614735">
              <w:rPr>
                <w:rFonts w:cs="Times New Roman"/>
                <w:sz w:val="20"/>
                <w:szCs w:val="20"/>
                <w:lang w:val="en-GB"/>
              </w:rPr>
              <w:t>%)</w:t>
            </w:r>
          </w:p>
          <w:p w14:paraId="7F40B50B" w14:textId="77777777" w:rsidR="000146E7" w:rsidRPr="00614735" w:rsidRDefault="000146E7" w:rsidP="000146E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Pr>
                <w:rFonts w:cs="Times New Roman"/>
                <w:sz w:val="20"/>
                <w:szCs w:val="20"/>
                <w:lang w:val="en-GB"/>
              </w:rPr>
              <w:t>High: 3/27 (11,1%)</w:t>
            </w:r>
          </w:p>
        </w:tc>
        <w:tc>
          <w:tcPr>
            <w:tcW w:w="710" w:type="pct"/>
          </w:tcPr>
          <w:p w14:paraId="706E52AA" w14:textId="014C8D42" w:rsidR="000146E7" w:rsidRPr="00614735" w:rsidRDefault="00AA4A9C" w:rsidP="00AA4A9C">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Pr>
                <w:rFonts w:cs="Times New Roman"/>
                <w:b/>
                <w:sz w:val="20"/>
                <w:szCs w:val="20"/>
                <w:lang w:val="en-GB"/>
              </w:rPr>
              <w:t>Decreased s</w:t>
            </w:r>
            <w:r w:rsidR="000146E7" w:rsidRPr="009211AB">
              <w:rPr>
                <w:rFonts w:cs="Times New Roman"/>
                <w:b/>
                <w:sz w:val="20"/>
                <w:szCs w:val="20"/>
                <w:lang w:val="en-GB"/>
              </w:rPr>
              <w:t>having</w:t>
            </w:r>
            <w:r>
              <w:rPr>
                <w:rFonts w:cs="Times New Roman"/>
                <w:b/>
                <w:sz w:val="20"/>
                <w:szCs w:val="20"/>
                <w:lang w:val="en-GB"/>
              </w:rPr>
              <w:t xml:space="preserve"> need</w:t>
            </w:r>
          </w:p>
        </w:tc>
        <w:tc>
          <w:tcPr>
            <w:tcW w:w="999" w:type="pct"/>
          </w:tcPr>
          <w:p w14:paraId="536644B5" w14:textId="2AB32837" w:rsidR="000146E7" w:rsidRDefault="00B036E0" w:rsidP="000146E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Pr>
                <w:rFonts w:cs="Times New Roman"/>
                <w:sz w:val="20"/>
                <w:szCs w:val="20"/>
                <w:lang w:val="en-GB"/>
              </w:rPr>
              <w:t xml:space="preserve">        </w:t>
            </w:r>
            <w:r w:rsidR="008306DF">
              <w:rPr>
                <w:rFonts w:cs="Times New Roman"/>
                <w:sz w:val="20"/>
                <w:szCs w:val="20"/>
                <w:lang w:val="en-GB"/>
              </w:rPr>
              <w:t>14/25</w:t>
            </w:r>
            <w:r w:rsidR="000146E7">
              <w:rPr>
                <w:rFonts w:cs="Times New Roman"/>
                <w:sz w:val="20"/>
                <w:szCs w:val="20"/>
                <w:lang w:val="en-GB"/>
              </w:rPr>
              <w:t xml:space="preserve"> (5</w:t>
            </w:r>
            <w:r w:rsidR="008306DF">
              <w:rPr>
                <w:rFonts w:cs="Times New Roman"/>
                <w:sz w:val="20"/>
                <w:szCs w:val="20"/>
                <w:lang w:val="en-GB"/>
              </w:rPr>
              <w:t>6</w:t>
            </w:r>
            <w:r w:rsidR="000146E7">
              <w:rPr>
                <w:rFonts w:cs="Times New Roman"/>
                <w:sz w:val="20"/>
                <w:szCs w:val="20"/>
                <w:lang w:val="en-GB"/>
              </w:rPr>
              <w:t>,</w:t>
            </w:r>
            <w:r w:rsidR="008306DF">
              <w:rPr>
                <w:rFonts w:cs="Times New Roman"/>
                <w:sz w:val="20"/>
                <w:szCs w:val="20"/>
                <w:lang w:val="en-GB"/>
              </w:rPr>
              <w:t>0</w:t>
            </w:r>
            <w:r w:rsidR="000146E7">
              <w:rPr>
                <w:rFonts w:cs="Times New Roman"/>
                <w:sz w:val="20"/>
                <w:szCs w:val="20"/>
                <w:lang w:val="en-GB"/>
              </w:rPr>
              <w:t>%)</w:t>
            </w:r>
          </w:p>
          <w:p w14:paraId="1566C4D3" w14:textId="50DC5854" w:rsidR="000146E7" w:rsidRDefault="000146E7" w:rsidP="008306DF">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p>
        </w:tc>
        <w:tc>
          <w:tcPr>
            <w:tcW w:w="999" w:type="pct"/>
          </w:tcPr>
          <w:p w14:paraId="229989CD" w14:textId="43497389" w:rsidR="000146E7" w:rsidRDefault="00B036E0" w:rsidP="000146E7">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Pr>
                <w:rFonts w:cs="Times New Roman"/>
                <w:sz w:val="20"/>
                <w:szCs w:val="20"/>
                <w:lang w:val="en-GB"/>
              </w:rPr>
              <w:t xml:space="preserve">      </w:t>
            </w:r>
            <w:r w:rsidR="000146E7">
              <w:rPr>
                <w:rFonts w:cs="Times New Roman"/>
                <w:sz w:val="20"/>
                <w:szCs w:val="20"/>
                <w:lang w:val="en-GB"/>
              </w:rPr>
              <w:t>10/1</w:t>
            </w:r>
            <w:r w:rsidR="00A27634">
              <w:rPr>
                <w:rFonts w:cs="Times New Roman"/>
                <w:sz w:val="20"/>
                <w:szCs w:val="20"/>
                <w:lang w:val="en-GB"/>
              </w:rPr>
              <w:t>7</w:t>
            </w:r>
            <w:r w:rsidR="00350492">
              <w:rPr>
                <w:rFonts w:cs="Times New Roman"/>
                <w:sz w:val="20"/>
                <w:szCs w:val="20"/>
                <w:lang w:val="en-GB"/>
              </w:rPr>
              <w:t xml:space="preserve"> (58</w:t>
            </w:r>
            <w:r w:rsidR="000146E7">
              <w:rPr>
                <w:rFonts w:cs="Times New Roman"/>
                <w:sz w:val="20"/>
                <w:szCs w:val="20"/>
                <w:lang w:val="en-GB"/>
              </w:rPr>
              <w:t>,</w:t>
            </w:r>
            <w:r w:rsidR="00350492">
              <w:rPr>
                <w:rFonts w:cs="Times New Roman"/>
                <w:sz w:val="20"/>
                <w:szCs w:val="20"/>
                <w:lang w:val="en-GB"/>
              </w:rPr>
              <w:t>8</w:t>
            </w:r>
            <w:r w:rsidR="000146E7">
              <w:rPr>
                <w:rFonts w:cs="Times New Roman"/>
                <w:sz w:val="20"/>
                <w:szCs w:val="20"/>
                <w:lang w:val="en-GB"/>
              </w:rPr>
              <w:t>%)</w:t>
            </w:r>
          </w:p>
          <w:p w14:paraId="77484B52" w14:textId="06B960A4" w:rsidR="000146E7" w:rsidRPr="00614735" w:rsidRDefault="000146E7" w:rsidP="00350492">
            <w:pP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p>
        </w:tc>
      </w:tr>
      <w:tr w:rsidR="000146E7" w:rsidRPr="00B53119" w14:paraId="19780486" w14:textId="77777777" w:rsidTr="00A5127C">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297" w:type="pct"/>
            <w:vMerge/>
          </w:tcPr>
          <w:p w14:paraId="2EC4FC55" w14:textId="77777777" w:rsidR="000146E7" w:rsidRDefault="000146E7" w:rsidP="000146E7">
            <w:pPr>
              <w:rPr>
                <w:rFonts w:cs="Times New Roman"/>
                <w:sz w:val="20"/>
                <w:szCs w:val="20"/>
                <w:lang w:val="en-GB"/>
              </w:rPr>
            </w:pPr>
          </w:p>
        </w:tc>
        <w:tc>
          <w:tcPr>
            <w:tcW w:w="995" w:type="pct"/>
            <w:vMerge/>
          </w:tcPr>
          <w:p w14:paraId="56110F76" w14:textId="77777777" w:rsidR="000146E7" w:rsidRDefault="000146E7" w:rsidP="000146E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p>
        </w:tc>
        <w:tc>
          <w:tcPr>
            <w:tcW w:w="710" w:type="pct"/>
          </w:tcPr>
          <w:p w14:paraId="678AFFC0" w14:textId="77777777" w:rsidR="000146E7" w:rsidRPr="009211AB" w:rsidRDefault="000146E7" w:rsidP="000146E7">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GB"/>
              </w:rPr>
            </w:pPr>
            <w:r w:rsidRPr="009211AB">
              <w:rPr>
                <w:rFonts w:cs="Times New Roman"/>
                <w:b/>
                <w:sz w:val="20"/>
                <w:szCs w:val="20"/>
                <w:lang w:val="en-GB"/>
              </w:rPr>
              <w:t>Breast development</w:t>
            </w:r>
          </w:p>
        </w:tc>
        <w:tc>
          <w:tcPr>
            <w:tcW w:w="999" w:type="pct"/>
          </w:tcPr>
          <w:p w14:paraId="5A825971" w14:textId="37412951" w:rsidR="000146E7" w:rsidRDefault="00B036E0" w:rsidP="000146E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Pr>
                <w:rFonts w:cs="Times New Roman"/>
                <w:sz w:val="20"/>
                <w:szCs w:val="20"/>
                <w:lang w:val="en-GB"/>
              </w:rPr>
              <w:t xml:space="preserve">  </w:t>
            </w:r>
            <w:r w:rsidR="004D32D4">
              <w:rPr>
                <w:rFonts w:cs="Times New Roman"/>
                <w:sz w:val="20"/>
                <w:szCs w:val="20"/>
                <w:lang w:val="en-GB"/>
              </w:rPr>
              <w:t>B</w:t>
            </w:r>
            <w:r w:rsidR="000146E7">
              <w:rPr>
                <w:rFonts w:cs="Times New Roman"/>
                <w:sz w:val="20"/>
                <w:szCs w:val="20"/>
                <w:lang w:val="en-GB"/>
              </w:rPr>
              <w:t>2: 3/25 (12,0%)</w:t>
            </w:r>
          </w:p>
          <w:p w14:paraId="55AE2515" w14:textId="39356C5F" w:rsidR="000146E7" w:rsidRPr="00614735" w:rsidRDefault="00B036E0" w:rsidP="000146E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Pr>
                <w:rFonts w:cs="Times New Roman"/>
                <w:sz w:val="20"/>
                <w:szCs w:val="20"/>
                <w:lang w:val="en-GB"/>
              </w:rPr>
              <w:t xml:space="preserve">  </w:t>
            </w:r>
            <w:r w:rsidR="004D32D4">
              <w:rPr>
                <w:rFonts w:cs="Times New Roman"/>
                <w:sz w:val="20"/>
                <w:szCs w:val="20"/>
                <w:lang w:val="en-GB"/>
              </w:rPr>
              <w:t>B</w:t>
            </w:r>
            <w:r w:rsidR="000146E7">
              <w:rPr>
                <w:rFonts w:cs="Times New Roman"/>
                <w:sz w:val="20"/>
                <w:szCs w:val="20"/>
                <w:lang w:val="en-GB"/>
              </w:rPr>
              <w:t>3: 4/25 (16,0)</w:t>
            </w:r>
          </w:p>
        </w:tc>
        <w:tc>
          <w:tcPr>
            <w:tcW w:w="999" w:type="pct"/>
          </w:tcPr>
          <w:p w14:paraId="14D17916" w14:textId="4145CFC1" w:rsidR="000146E7" w:rsidRDefault="00B036E0" w:rsidP="000146E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Pr>
                <w:rFonts w:cs="Times New Roman"/>
                <w:sz w:val="20"/>
                <w:szCs w:val="20"/>
                <w:lang w:val="en-GB"/>
              </w:rPr>
              <w:t xml:space="preserve">  </w:t>
            </w:r>
            <w:r w:rsidR="004D32D4">
              <w:rPr>
                <w:rFonts w:cs="Times New Roman"/>
                <w:sz w:val="20"/>
                <w:szCs w:val="20"/>
                <w:lang w:val="en-GB"/>
              </w:rPr>
              <w:t>B</w:t>
            </w:r>
            <w:r w:rsidR="00A27634">
              <w:rPr>
                <w:rFonts w:cs="Times New Roman"/>
                <w:sz w:val="20"/>
                <w:szCs w:val="20"/>
                <w:lang w:val="en-GB"/>
              </w:rPr>
              <w:t>3: 13/17</w:t>
            </w:r>
            <w:r w:rsidR="000146E7">
              <w:rPr>
                <w:rFonts w:cs="Times New Roman"/>
                <w:sz w:val="20"/>
                <w:szCs w:val="20"/>
                <w:lang w:val="en-GB"/>
              </w:rPr>
              <w:t xml:space="preserve"> (</w:t>
            </w:r>
            <w:r w:rsidR="00D925DF">
              <w:rPr>
                <w:rFonts w:cs="Times New Roman"/>
                <w:sz w:val="20"/>
                <w:szCs w:val="20"/>
                <w:lang w:val="en-GB"/>
              </w:rPr>
              <w:t>76</w:t>
            </w:r>
            <w:r w:rsidR="000146E7">
              <w:rPr>
                <w:rFonts w:cs="Times New Roman"/>
                <w:sz w:val="20"/>
                <w:szCs w:val="20"/>
                <w:lang w:val="en-GB"/>
              </w:rPr>
              <w:t>,</w:t>
            </w:r>
            <w:r w:rsidR="00D925DF">
              <w:rPr>
                <w:rFonts w:cs="Times New Roman"/>
                <w:sz w:val="20"/>
                <w:szCs w:val="20"/>
                <w:lang w:val="en-GB"/>
              </w:rPr>
              <w:t>5</w:t>
            </w:r>
            <w:r w:rsidR="000146E7">
              <w:rPr>
                <w:rFonts w:cs="Times New Roman"/>
                <w:sz w:val="20"/>
                <w:szCs w:val="20"/>
                <w:lang w:val="en-GB"/>
              </w:rPr>
              <w:t>%)</w:t>
            </w:r>
          </w:p>
          <w:p w14:paraId="431F0E65" w14:textId="1000FFB0" w:rsidR="000146E7" w:rsidRPr="00614735" w:rsidRDefault="00B036E0" w:rsidP="000146E7">
            <w:pP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Pr>
                <w:rFonts w:cs="Times New Roman"/>
                <w:sz w:val="20"/>
                <w:szCs w:val="20"/>
                <w:lang w:val="en-GB"/>
              </w:rPr>
              <w:t xml:space="preserve">  </w:t>
            </w:r>
            <w:r w:rsidR="004D32D4">
              <w:rPr>
                <w:rFonts w:cs="Times New Roman"/>
                <w:sz w:val="20"/>
                <w:szCs w:val="20"/>
                <w:lang w:val="en-GB"/>
              </w:rPr>
              <w:t>B</w:t>
            </w:r>
            <w:r w:rsidR="00A27634">
              <w:rPr>
                <w:rFonts w:cs="Times New Roman"/>
                <w:sz w:val="20"/>
                <w:szCs w:val="20"/>
                <w:lang w:val="en-GB"/>
              </w:rPr>
              <w:t>4: 1/17</w:t>
            </w:r>
            <w:r w:rsidR="00350492">
              <w:rPr>
                <w:rFonts w:cs="Times New Roman"/>
                <w:sz w:val="20"/>
                <w:szCs w:val="20"/>
                <w:lang w:val="en-GB"/>
              </w:rPr>
              <w:t xml:space="preserve"> (5,9</w:t>
            </w:r>
            <w:r w:rsidR="000146E7">
              <w:rPr>
                <w:rFonts w:cs="Times New Roman"/>
                <w:sz w:val="20"/>
                <w:szCs w:val="20"/>
                <w:lang w:val="en-GB"/>
              </w:rPr>
              <w:t>%)</w:t>
            </w:r>
          </w:p>
        </w:tc>
      </w:tr>
    </w:tbl>
    <w:p w14:paraId="2C523543" w14:textId="69572F1B" w:rsidR="006A3CE1" w:rsidRDefault="00266986" w:rsidP="00FA2B8C">
      <w:pPr>
        <w:spacing w:after="0"/>
        <w:rPr>
          <w:lang w:val="en-GB"/>
        </w:rPr>
      </w:pPr>
      <w:r w:rsidRPr="00F31CCD">
        <w:rPr>
          <w:sz w:val="18"/>
          <w:szCs w:val="18"/>
          <w:lang w:val="en-GB"/>
        </w:rPr>
        <w:t xml:space="preserve">Smoking: </w:t>
      </w:r>
      <w:r>
        <w:rPr>
          <w:sz w:val="18"/>
          <w:szCs w:val="18"/>
          <w:lang w:val="en-GB"/>
        </w:rPr>
        <w:t>Yes: any amount of cigarettes on regular bases;</w:t>
      </w:r>
      <w:r w:rsidRPr="00F31CCD">
        <w:rPr>
          <w:sz w:val="18"/>
          <w:szCs w:val="18"/>
          <w:lang w:val="en-GB"/>
        </w:rPr>
        <w:t xml:space="preserve"> High: &gt;20 cigarettes a day. </w:t>
      </w:r>
      <w:r>
        <w:rPr>
          <w:sz w:val="18"/>
          <w:szCs w:val="18"/>
          <w:lang w:val="en-GB"/>
        </w:rPr>
        <w:t>Alcohol: Yes: any amount; High: &gt;21 consumptions a week.</w:t>
      </w:r>
      <w:r w:rsidR="00D7523D">
        <w:rPr>
          <w:sz w:val="18"/>
          <w:szCs w:val="18"/>
          <w:lang w:val="en-GB"/>
        </w:rPr>
        <w:t xml:space="preserve"> </w:t>
      </w:r>
      <w:r w:rsidRPr="00F31CCD">
        <w:rPr>
          <w:sz w:val="18"/>
          <w:szCs w:val="18"/>
          <w:lang w:val="en-GB"/>
        </w:rPr>
        <w:t>ASO: theoretical education, TSO: technical education, BSO: vocational training, BUSO: school for children with learning difficulties, KSO: art school.</w:t>
      </w:r>
      <w:r>
        <w:rPr>
          <w:sz w:val="18"/>
          <w:szCs w:val="18"/>
          <w:lang w:val="en-GB"/>
        </w:rPr>
        <w:t xml:space="preserve"> CA: cyproterone acetate monotherapy; C</w:t>
      </w:r>
      <w:r w:rsidR="007F650B">
        <w:rPr>
          <w:sz w:val="18"/>
          <w:szCs w:val="18"/>
          <w:lang w:val="en-GB"/>
        </w:rPr>
        <w:t>A</w:t>
      </w:r>
      <w:r>
        <w:rPr>
          <w:sz w:val="18"/>
          <w:szCs w:val="18"/>
          <w:lang w:val="en-GB"/>
        </w:rPr>
        <w:t>+E: Cyproterone acetate and 17β-estradiol combination therapy.</w:t>
      </w:r>
    </w:p>
    <w:p w14:paraId="61594256" w14:textId="2BBED650" w:rsidR="00FA2B8C" w:rsidRPr="00CE715D" w:rsidRDefault="00FA2B8C" w:rsidP="00C942CA">
      <w:pPr>
        <w:pStyle w:val="Kop3"/>
        <w:rPr>
          <w:lang w:val="en-GB"/>
        </w:rPr>
      </w:pPr>
      <w:bookmarkStart w:id="46" w:name="_Toc451961502"/>
      <w:r w:rsidRPr="00CE715D">
        <w:rPr>
          <w:lang w:val="en-GB"/>
        </w:rPr>
        <w:t>Anthropometry</w:t>
      </w:r>
      <w:bookmarkEnd w:id="46"/>
      <w:r w:rsidR="00B10985">
        <w:rPr>
          <w:lang w:val="en-GB"/>
        </w:rPr>
        <w:t xml:space="preserve"> </w:t>
      </w:r>
    </w:p>
    <w:p w14:paraId="3852D5BA" w14:textId="166298C7" w:rsidR="00695CEA" w:rsidRDefault="001620F3" w:rsidP="000B277A">
      <w:pPr>
        <w:spacing w:after="0"/>
        <w:jc w:val="both"/>
        <w:rPr>
          <w:bCs/>
          <w:lang w:val="en-GB"/>
        </w:rPr>
      </w:pPr>
      <w:r>
        <w:rPr>
          <w:bCs/>
          <w:lang w:val="en-GB"/>
        </w:rPr>
        <w:t>Mean height at start of CA and C</w:t>
      </w:r>
      <w:r w:rsidR="007F650B">
        <w:rPr>
          <w:bCs/>
          <w:lang w:val="en-GB"/>
        </w:rPr>
        <w:t>A</w:t>
      </w:r>
      <w:r>
        <w:rPr>
          <w:bCs/>
          <w:lang w:val="en-GB"/>
        </w:rPr>
        <w:t xml:space="preserve">+E </w:t>
      </w:r>
      <w:r w:rsidR="00B10985">
        <w:rPr>
          <w:bCs/>
          <w:lang w:val="en-GB"/>
        </w:rPr>
        <w:t>w</w:t>
      </w:r>
      <w:r w:rsidR="00BE0633">
        <w:rPr>
          <w:bCs/>
          <w:lang w:val="en-GB"/>
        </w:rPr>
        <w:t>ere</w:t>
      </w:r>
      <w:r w:rsidR="00B10985">
        <w:rPr>
          <w:bCs/>
          <w:lang w:val="en-GB"/>
        </w:rPr>
        <w:t xml:space="preserve"> </w:t>
      </w:r>
      <w:r w:rsidR="00FA2B8C" w:rsidRPr="00CE715D">
        <w:rPr>
          <w:bCs/>
          <w:lang w:val="en-GB"/>
        </w:rPr>
        <w:t>1</w:t>
      </w:r>
      <w:r w:rsidR="00D925DF">
        <w:rPr>
          <w:bCs/>
          <w:lang w:val="en-GB"/>
        </w:rPr>
        <w:t>74,</w:t>
      </w:r>
      <w:r>
        <w:rPr>
          <w:bCs/>
          <w:lang w:val="en-GB"/>
        </w:rPr>
        <w:t>6 cm and</w:t>
      </w:r>
      <w:r w:rsidR="00FA2B8C" w:rsidRPr="00CE715D">
        <w:rPr>
          <w:bCs/>
          <w:lang w:val="en-GB"/>
        </w:rPr>
        <w:t xml:space="preserve"> 1</w:t>
      </w:r>
      <w:r>
        <w:rPr>
          <w:bCs/>
          <w:lang w:val="en-GB"/>
        </w:rPr>
        <w:t>75,6</w:t>
      </w:r>
      <w:r w:rsidR="00FA2B8C" w:rsidRPr="00CE715D">
        <w:rPr>
          <w:bCs/>
          <w:lang w:val="en-GB"/>
        </w:rPr>
        <w:t xml:space="preserve"> cm</w:t>
      </w:r>
      <w:r w:rsidR="00B10985">
        <w:rPr>
          <w:bCs/>
          <w:lang w:val="en-GB"/>
        </w:rPr>
        <w:t xml:space="preserve"> respectively</w:t>
      </w:r>
      <w:r w:rsidR="00FA2B8C" w:rsidRPr="00CE715D">
        <w:rPr>
          <w:bCs/>
          <w:lang w:val="en-GB"/>
        </w:rPr>
        <w:t xml:space="preserve">. </w:t>
      </w:r>
      <w:r w:rsidR="003C05ED">
        <w:rPr>
          <w:bCs/>
          <w:lang w:val="en-GB"/>
        </w:rPr>
        <w:t>No clinically important changes in body w</w:t>
      </w:r>
      <w:r w:rsidR="00695CEA">
        <w:rPr>
          <w:bCs/>
          <w:lang w:val="en-GB"/>
        </w:rPr>
        <w:t xml:space="preserve">eight and BMI </w:t>
      </w:r>
      <w:r w:rsidR="003C05ED">
        <w:rPr>
          <w:bCs/>
          <w:lang w:val="en-GB"/>
        </w:rPr>
        <w:t>were noted</w:t>
      </w:r>
      <w:r w:rsidR="00695CEA">
        <w:rPr>
          <w:bCs/>
          <w:lang w:val="en-GB"/>
        </w:rPr>
        <w:t xml:space="preserve"> over the course of treatment. </w:t>
      </w:r>
      <w:r w:rsidR="00B10985">
        <w:rPr>
          <w:bCs/>
          <w:lang w:val="en-GB"/>
        </w:rPr>
        <w:t xml:space="preserve">In comparison </w:t>
      </w:r>
      <w:r w:rsidR="00695CEA">
        <w:rPr>
          <w:bCs/>
          <w:lang w:val="en-GB"/>
        </w:rPr>
        <w:t xml:space="preserve">with their </w:t>
      </w:r>
      <w:r w:rsidR="00D925DF">
        <w:rPr>
          <w:bCs/>
          <w:lang w:val="en-GB"/>
        </w:rPr>
        <w:t>age-</w:t>
      </w:r>
      <w:r w:rsidR="00695CEA" w:rsidRPr="00CE715D">
        <w:rPr>
          <w:bCs/>
          <w:lang w:val="en-GB"/>
        </w:rPr>
        <w:t xml:space="preserve">matched </w:t>
      </w:r>
      <w:r w:rsidR="003C05ED">
        <w:rPr>
          <w:bCs/>
          <w:lang w:val="en-GB"/>
        </w:rPr>
        <w:t>male</w:t>
      </w:r>
      <w:r w:rsidR="00695CEA">
        <w:rPr>
          <w:bCs/>
          <w:lang w:val="en-GB"/>
        </w:rPr>
        <w:t xml:space="preserve"> peers, based on </w:t>
      </w:r>
      <w:r w:rsidR="00695CEA" w:rsidRPr="00CE715D">
        <w:rPr>
          <w:bCs/>
          <w:lang w:val="en-GB"/>
        </w:rPr>
        <w:t>SD scores</w:t>
      </w:r>
      <w:r w:rsidR="00695CEA">
        <w:rPr>
          <w:bCs/>
          <w:lang w:val="en-GB"/>
        </w:rPr>
        <w:t xml:space="preserve"> </w:t>
      </w:r>
      <w:r w:rsidR="007A3EDC">
        <w:rPr>
          <w:bCs/>
          <w:lang w:val="en-GB"/>
        </w:rPr>
        <w:fldChar w:fldCharType="begin" w:fldLock="1"/>
      </w:r>
      <w:r w:rsidR="002C52CA">
        <w:rPr>
          <w:bCs/>
          <w:lang w:val="en-GB"/>
        </w:rPr>
        <w:instrText>ADDIN CSL_CITATION { "citationItems" : [ { "id" : "ITEM-1", "itemData" : { "DOI" : "10.3109/03014460903049074", "ISSN" : "1464-5033", "PMID" : "19919503", "abstract" : "BACKGROUND: Due to the secular trend in length and height, growth references need to be updated regularly. Reference charts that were until recently used in Belgium are based on samples collected more than 30 years ago, and references for body mass index (BMI) and pubertal development have not been established before.\n\nAIMS: To establish contemporary cross-sectional reference charts for height, weight, BMI, head circumference, and pubertal development from birth to 21 years of age, based on a representative sample of children from Flanders, Belgium.\n\nSUBJECTS AND METHODS: 15 989 healthy subjects of Belgian origin, 0-25 years of age, were measured in 2002-2004. Growth curves were fitted with the LMS method, and percentiles for the pubertal development were estimated with generalized additive models on status quo data from 8690 subjects aged 6-22 years of age.\n\nRESULTS: A positive secular trend in height and weight is observed in children above 5 years of age. Adult median height has increased by 1.2 cm/decade in boys and 0.8 cm/decade in girls; median weight by 0.9 kg/decade in boys, and 1.0 kg/decade in girls, and the weight distribution became more skewed. The BMI curve is comparable to that of other populations, except for higher percentiles. This reflects the increasing prevalence of overweight and obesity. Median age at menarche (13.0 years) has not advanced any more over the past 50 years. Median ages at menarche and B2 in girls and G2 or T4 in boys are comparable to other West European estimates, but approximately 10% enter G2/T4 before 9 years of age.\n\nCONCLUSIONS: The ongoing secular trend in height and weight makes growth charts previously used in Belgium obsolete. New representative charts for growth and pubertal development are introduced. For weight monitoring, it is advised that the now-available BMI growth charts are used.", "author" : [ { "dropping-particle" : "", "family" : "Roelants", "given" : "M", "non-dropping-particle" : "", "parse-names" : false, "suffix" : "" }, { "dropping-particle" : "", "family" : "Hauspie", "given" : "R", "non-dropping-particle" : "", "parse-names" : false, "suffix" : "" }, { "dropping-particle" : "", "family" : "Hoppenbrouwers", "given" : "K", "non-dropping-particle" : "", "parse-names" : false, "suffix" : "" } ], "container-title" : "Annals of human biology", "id" : "ITEM-1", "issue" : "6", "issued" : { "date-parts" : [ [ "0", "1" ] ] }, "page" : "680-94", "title" : "References for growth and pubertal development from birth to 21 years in Flanders, Belgium.", "type" : "article-journal", "volume" : "36" }, "uris" : [ "http://www.mendeley.com/documents/?uuid=1c401ea5-4197-4d59-8618-56bb78477688" ] } ], "mendeley" : { "formattedCitation" : "(55)", "plainTextFormattedCitation" : "(55)", "previouslyFormattedCitation" : "(55)" }, "properties" : { "noteIndex" : 0 }, "schema" : "https://github.com/citation-style-language/schema/raw/master/csl-citation.json" }</w:instrText>
      </w:r>
      <w:r w:rsidR="007A3EDC">
        <w:rPr>
          <w:bCs/>
          <w:lang w:val="en-GB"/>
        </w:rPr>
        <w:fldChar w:fldCharType="separate"/>
      </w:r>
      <w:r w:rsidR="00C7364E" w:rsidRPr="00C7364E">
        <w:rPr>
          <w:bCs/>
          <w:noProof/>
          <w:lang w:val="en-GB"/>
        </w:rPr>
        <w:t>(55)</w:t>
      </w:r>
      <w:r w:rsidR="007A3EDC">
        <w:rPr>
          <w:bCs/>
          <w:lang w:val="en-GB"/>
        </w:rPr>
        <w:fldChar w:fldCharType="end"/>
      </w:r>
      <w:r w:rsidR="00695CEA">
        <w:rPr>
          <w:bCs/>
          <w:lang w:val="en-GB"/>
        </w:rPr>
        <w:t xml:space="preserve">, weight gain was significantly </w:t>
      </w:r>
      <w:r w:rsidR="003C05ED">
        <w:rPr>
          <w:bCs/>
          <w:lang w:val="en-GB"/>
        </w:rPr>
        <w:t xml:space="preserve">less during </w:t>
      </w:r>
      <w:r w:rsidR="003C05ED">
        <w:rPr>
          <w:bCs/>
          <w:lang w:val="en-GB"/>
        </w:rPr>
        <w:lastRenderedPageBreak/>
        <w:t>treatment with CA</w:t>
      </w:r>
      <w:r w:rsidR="00695CEA">
        <w:rPr>
          <w:bCs/>
          <w:lang w:val="en-GB"/>
        </w:rPr>
        <w:t>. However, after</w:t>
      </w:r>
      <w:r w:rsidR="003C05ED">
        <w:rPr>
          <w:bCs/>
          <w:lang w:val="en-GB"/>
        </w:rPr>
        <w:t xml:space="preserve"> adjusting for height (BMI), the</w:t>
      </w:r>
      <w:r w:rsidR="00695CEA">
        <w:rPr>
          <w:bCs/>
          <w:lang w:val="en-GB"/>
        </w:rPr>
        <w:t xml:space="preserve"> difference was not significant.</w:t>
      </w:r>
      <w:r w:rsidR="00710B21">
        <w:rPr>
          <w:bCs/>
          <w:lang w:val="en-GB"/>
        </w:rPr>
        <w:t xml:space="preserve"> Weight, height a</w:t>
      </w:r>
      <w:r w:rsidR="00FB0AAD">
        <w:rPr>
          <w:bCs/>
          <w:lang w:val="en-GB"/>
        </w:rPr>
        <w:t>nd BMI are represented in T</w:t>
      </w:r>
      <w:r w:rsidR="00710B21">
        <w:rPr>
          <w:bCs/>
          <w:lang w:val="en-GB"/>
        </w:rPr>
        <w:t xml:space="preserve">able </w:t>
      </w:r>
      <w:r w:rsidR="00A44497">
        <w:rPr>
          <w:bCs/>
          <w:lang w:val="en-GB"/>
        </w:rPr>
        <w:t>8</w:t>
      </w:r>
      <w:r w:rsidR="00624AB0">
        <w:rPr>
          <w:bCs/>
          <w:lang w:val="en-GB"/>
        </w:rPr>
        <w:t xml:space="preserve"> and Figure 5</w:t>
      </w:r>
      <w:r w:rsidR="00710B21">
        <w:rPr>
          <w:bCs/>
          <w:lang w:val="en-GB"/>
        </w:rPr>
        <w:t>.</w:t>
      </w:r>
    </w:p>
    <w:p w14:paraId="360E59F1" w14:textId="69A80348" w:rsidR="006A3CE1" w:rsidRPr="006A3CE1" w:rsidRDefault="006A3CE1" w:rsidP="00DF15E3">
      <w:pPr>
        <w:spacing w:before="120" w:after="0"/>
        <w:rPr>
          <w:lang w:val="en-GB"/>
        </w:rPr>
      </w:pPr>
      <w:r>
        <w:rPr>
          <w:b/>
          <w:lang w:val="en-GB"/>
        </w:rPr>
        <w:t xml:space="preserve">Table </w:t>
      </w:r>
      <w:r w:rsidR="00A44497">
        <w:rPr>
          <w:b/>
          <w:lang w:val="en-GB"/>
        </w:rPr>
        <w:t>8</w:t>
      </w:r>
      <w:r>
        <w:rPr>
          <w:b/>
          <w:lang w:val="en-GB"/>
        </w:rPr>
        <w:t xml:space="preserve">. </w:t>
      </w:r>
      <w:r>
        <w:rPr>
          <w:lang w:val="en-GB"/>
        </w:rPr>
        <w:t xml:space="preserve">Summary of </w:t>
      </w:r>
      <w:r w:rsidR="00B10985">
        <w:rPr>
          <w:lang w:val="en-GB"/>
        </w:rPr>
        <w:t>anthropometric</w:t>
      </w:r>
      <w:r>
        <w:rPr>
          <w:lang w:val="en-GB"/>
        </w:rPr>
        <w:t xml:space="preserve"> data</w:t>
      </w:r>
    </w:p>
    <w:tbl>
      <w:tblPr>
        <w:tblStyle w:val="Onopgemaaktetabel21"/>
        <w:tblW w:w="9498" w:type="dxa"/>
        <w:tblLayout w:type="fixed"/>
        <w:tblLook w:val="04A0" w:firstRow="1" w:lastRow="0" w:firstColumn="1" w:lastColumn="0" w:noHBand="0" w:noVBand="1"/>
      </w:tblPr>
      <w:tblGrid>
        <w:gridCol w:w="1526"/>
        <w:gridCol w:w="1328"/>
        <w:gridCol w:w="1329"/>
        <w:gridCol w:w="1329"/>
        <w:gridCol w:w="1328"/>
        <w:gridCol w:w="1329"/>
        <w:gridCol w:w="1329"/>
      </w:tblGrid>
      <w:tr w:rsidR="00803B3E" w:rsidRPr="005F2BDE" w14:paraId="242BB34D" w14:textId="77777777" w:rsidTr="0080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tcPr>
          <w:p w14:paraId="5F9D4FC3" w14:textId="77777777" w:rsidR="00803B3E" w:rsidRPr="005F2BDE" w:rsidRDefault="00803B3E" w:rsidP="000146E7">
            <w:pPr>
              <w:jc w:val="center"/>
              <w:rPr>
                <w:b w:val="0"/>
                <w:sz w:val="18"/>
                <w:szCs w:val="18"/>
                <w:lang w:val="en-GB"/>
              </w:rPr>
            </w:pPr>
            <w:r w:rsidRPr="005F2BDE">
              <w:rPr>
                <w:b w:val="0"/>
                <w:sz w:val="18"/>
                <w:szCs w:val="18"/>
                <w:lang w:val="en-GB"/>
              </w:rPr>
              <w:t>Treatment phase</w:t>
            </w:r>
          </w:p>
        </w:tc>
        <w:tc>
          <w:tcPr>
            <w:tcW w:w="2657" w:type="dxa"/>
            <w:gridSpan w:val="2"/>
          </w:tcPr>
          <w:p w14:paraId="3109C42E" w14:textId="77777777" w:rsidR="00803B3E" w:rsidRPr="005F2BDE" w:rsidRDefault="00803B3E" w:rsidP="000146E7">
            <w:pPr>
              <w:jc w:val="center"/>
              <w:cnfStyle w:val="100000000000" w:firstRow="1" w:lastRow="0" w:firstColumn="0" w:lastColumn="0" w:oddVBand="0" w:evenVBand="0" w:oddHBand="0" w:evenHBand="0" w:firstRowFirstColumn="0" w:firstRowLastColumn="0" w:lastRowFirstColumn="0" w:lastRowLastColumn="0"/>
              <w:rPr>
                <w:sz w:val="18"/>
                <w:szCs w:val="18"/>
                <w:lang w:val="en-GB"/>
              </w:rPr>
            </w:pPr>
            <w:r w:rsidRPr="005F2BDE">
              <w:rPr>
                <w:sz w:val="18"/>
                <w:szCs w:val="18"/>
                <w:lang w:val="en-GB"/>
              </w:rPr>
              <w:t>Weight</w:t>
            </w:r>
          </w:p>
        </w:tc>
        <w:tc>
          <w:tcPr>
            <w:tcW w:w="2657" w:type="dxa"/>
            <w:gridSpan w:val="2"/>
          </w:tcPr>
          <w:p w14:paraId="52C3F2AD" w14:textId="77777777" w:rsidR="00803B3E" w:rsidRPr="005F2BDE" w:rsidRDefault="00803B3E" w:rsidP="000146E7">
            <w:pPr>
              <w:jc w:val="center"/>
              <w:cnfStyle w:val="100000000000" w:firstRow="1" w:lastRow="0" w:firstColumn="0" w:lastColumn="0" w:oddVBand="0" w:evenVBand="0" w:oddHBand="0" w:evenHBand="0" w:firstRowFirstColumn="0" w:firstRowLastColumn="0" w:lastRowFirstColumn="0" w:lastRowLastColumn="0"/>
              <w:rPr>
                <w:sz w:val="18"/>
                <w:szCs w:val="18"/>
                <w:lang w:val="en-GB"/>
              </w:rPr>
            </w:pPr>
            <w:r w:rsidRPr="005F2BDE">
              <w:rPr>
                <w:sz w:val="18"/>
                <w:szCs w:val="18"/>
                <w:lang w:val="en-GB"/>
              </w:rPr>
              <w:t>Height</w:t>
            </w:r>
          </w:p>
        </w:tc>
        <w:tc>
          <w:tcPr>
            <w:tcW w:w="2658" w:type="dxa"/>
            <w:gridSpan w:val="2"/>
          </w:tcPr>
          <w:p w14:paraId="7006E05F" w14:textId="77777777" w:rsidR="00803B3E" w:rsidRPr="005F2BDE" w:rsidRDefault="00803B3E" w:rsidP="000146E7">
            <w:pPr>
              <w:jc w:val="center"/>
              <w:cnfStyle w:val="100000000000" w:firstRow="1" w:lastRow="0" w:firstColumn="0" w:lastColumn="0" w:oddVBand="0" w:evenVBand="0" w:oddHBand="0" w:evenHBand="0" w:firstRowFirstColumn="0" w:firstRowLastColumn="0" w:lastRowFirstColumn="0" w:lastRowLastColumn="0"/>
              <w:rPr>
                <w:sz w:val="18"/>
                <w:szCs w:val="18"/>
                <w:lang w:val="en-GB"/>
              </w:rPr>
            </w:pPr>
            <w:r w:rsidRPr="005F2BDE">
              <w:rPr>
                <w:sz w:val="18"/>
                <w:szCs w:val="18"/>
                <w:lang w:val="en-GB"/>
              </w:rPr>
              <w:t>BMI</w:t>
            </w:r>
          </w:p>
        </w:tc>
      </w:tr>
      <w:tr w:rsidR="00803B3E" w:rsidRPr="005F2BDE" w14:paraId="23EC052A" w14:textId="77777777" w:rsidTr="0080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3B8A53F6" w14:textId="77777777" w:rsidR="00803B3E" w:rsidRPr="005F2BDE" w:rsidRDefault="00803B3E" w:rsidP="000146E7">
            <w:pPr>
              <w:jc w:val="center"/>
              <w:rPr>
                <w:b w:val="0"/>
                <w:sz w:val="18"/>
                <w:szCs w:val="18"/>
                <w:lang w:val="en-GB"/>
              </w:rPr>
            </w:pPr>
          </w:p>
        </w:tc>
        <w:tc>
          <w:tcPr>
            <w:tcW w:w="1328" w:type="dxa"/>
          </w:tcPr>
          <w:p w14:paraId="44C3C6AE" w14:textId="77777777" w:rsidR="00803B3E" w:rsidRPr="005F2BDE" w:rsidRDefault="00803B3E" w:rsidP="000146E7">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5F2BDE">
              <w:rPr>
                <w:b/>
                <w:sz w:val="18"/>
                <w:szCs w:val="18"/>
                <w:lang w:val="en-GB"/>
              </w:rPr>
              <w:t>kg</w:t>
            </w:r>
          </w:p>
        </w:tc>
        <w:tc>
          <w:tcPr>
            <w:tcW w:w="1329" w:type="dxa"/>
          </w:tcPr>
          <w:p w14:paraId="25A9D189" w14:textId="77777777" w:rsidR="00803B3E" w:rsidRPr="005F2BDE" w:rsidRDefault="00803B3E" w:rsidP="000146E7">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5F2BDE">
              <w:rPr>
                <w:b/>
                <w:sz w:val="18"/>
                <w:szCs w:val="18"/>
                <w:lang w:val="en-GB"/>
              </w:rPr>
              <w:t>SD</w:t>
            </w:r>
          </w:p>
        </w:tc>
        <w:tc>
          <w:tcPr>
            <w:tcW w:w="1329" w:type="dxa"/>
          </w:tcPr>
          <w:p w14:paraId="49AE9AF7" w14:textId="77777777" w:rsidR="00803B3E" w:rsidRPr="005F2BDE" w:rsidRDefault="00803B3E" w:rsidP="000146E7">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5F2BDE">
              <w:rPr>
                <w:b/>
                <w:sz w:val="18"/>
                <w:szCs w:val="18"/>
                <w:lang w:val="en-GB"/>
              </w:rPr>
              <w:t>cm</w:t>
            </w:r>
          </w:p>
        </w:tc>
        <w:tc>
          <w:tcPr>
            <w:tcW w:w="1328" w:type="dxa"/>
          </w:tcPr>
          <w:p w14:paraId="4A7BE141" w14:textId="77777777" w:rsidR="00803B3E" w:rsidRPr="005F2BDE" w:rsidRDefault="00803B3E" w:rsidP="000146E7">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5F2BDE">
              <w:rPr>
                <w:b/>
                <w:sz w:val="18"/>
                <w:szCs w:val="18"/>
                <w:lang w:val="en-GB"/>
              </w:rPr>
              <w:t>SD</w:t>
            </w:r>
          </w:p>
        </w:tc>
        <w:tc>
          <w:tcPr>
            <w:tcW w:w="1329" w:type="dxa"/>
          </w:tcPr>
          <w:p w14:paraId="1A20EEB5" w14:textId="77777777" w:rsidR="00803B3E" w:rsidRPr="005F2BDE" w:rsidRDefault="00803B3E" w:rsidP="000146E7">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5F2BDE">
              <w:rPr>
                <w:b/>
                <w:sz w:val="18"/>
                <w:szCs w:val="18"/>
                <w:lang w:val="en-GB"/>
              </w:rPr>
              <w:t>kg/m²</w:t>
            </w:r>
          </w:p>
        </w:tc>
        <w:tc>
          <w:tcPr>
            <w:tcW w:w="1329" w:type="dxa"/>
          </w:tcPr>
          <w:p w14:paraId="7C72494D" w14:textId="77777777" w:rsidR="00803B3E" w:rsidRPr="005F2BDE" w:rsidRDefault="00803B3E" w:rsidP="000146E7">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5F2BDE">
              <w:rPr>
                <w:b/>
                <w:sz w:val="18"/>
                <w:szCs w:val="18"/>
                <w:lang w:val="en-GB"/>
              </w:rPr>
              <w:t>SD</w:t>
            </w:r>
          </w:p>
        </w:tc>
      </w:tr>
      <w:tr w:rsidR="00803B3E" w:rsidRPr="005F2BDE" w14:paraId="16E39B0E" w14:textId="77777777" w:rsidTr="00803B3E">
        <w:trPr>
          <w:trHeight w:val="449"/>
        </w:trPr>
        <w:tc>
          <w:tcPr>
            <w:cnfStyle w:val="001000000000" w:firstRow="0" w:lastRow="0" w:firstColumn="1" w:lastColumn="0" w:oddVBand="0" w:evenVBand="0" w:oddHBand="0" w:evenHBand="0" w:firstRowFirstColumn="0" w:firstRowLastColumn="0" w:lastRowFirstColumn="0" w:lastRowLastColumn="0"/>
            <w:tcW w:w="1526" w:type="dxa"/>
          </w:tcPr>
          <w:p w14:paraId="21AB24CC" w14:textId="77777777" w:rsidR="00803B3E" w:rsidRPr="005F2BDE" w:rsidRDefault="00803B3E" w:rsidP="00803B3E">
            <w:pPr>
              <w:jc w:val="center"/>
              <w:rPr>
                <w:sz w:val="18"/>
                <w:szCs w:val="18"/>
                <w:lang w:val="en-GB"/>
              </w:rPr>
            </w:pPr>
            <w:r w:rsidRPr="005F2BDE">
              <w:rPr>
                <w:sz w:val="18"/>
                <w:szCs w:val="18"/>
                <w:lang w:val="en-GB"/>
              </w:rPr>
              <w:t>CA: 6 months</w:t>
            </w:r>
          </w:p>
          <w:p w14:paraId="76E0161F" w14:textId="5A47D883" w:rsidR="00803B3E" w:rsidRPr="005F2BDE" w:rsidRDefault="00803B3E" w:rsidP="00803B3E">
            <w:pPr>
              <w:jc w:val="center"/>
              <w:rPr>
                <w:i/>
                <w:sz w:val="18"/>
                <w:szCs w:val="18"/>
                <w:lang w:val="en-GB"/>
              </w:rPr>
            </w:pPr>
            <w:r w:rsidRPr="005F2BDE">
              <w:rPr>
                <w:i/>
                <w:sz w:val="18"/>
                <w:szCs w:val="18"/>
                <w:lang w:val="en-GB"/>
              </w:rPr>
              <w:t>(P-value)</w:t>
            </w:r>
          </w:p>
        </w:tc>
        <w:tc>
          <w:tcPr>
            <w:tcW w:w="1328" w:type="dxa"/>
          </w:tcPr>
          <w:p w14:paraId="7B6C0EC7" w14:textId="77777777" w:rsidR="00803B3E" w:rsidRPr="005F2BDE" w:rsidRDefault="00803B3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5F2BDE">
              <w:rPr>
                <w:sz w:val="18"/>
                <w:szCs w:val="18"/>
                <w:lang w:val="en-GB"/>
              </w:rPr>
              <w:t xml:space="preserve">-0,02 </w:t>
            </w:r>
          </w:p>
          <w:p w14:paraId="0DBDA7BD" w14:textId="2E512E5A" w:rsidR="00803B3E" w:rsidRPr="005F2BDE" w:rsidRDefault="00803B3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5F2BDE">
              <w:rPr>
                <w:i/>
                <w:sz w:val="18"/>
                <w:szCs w:val="18"/>
                <w:lang w:val="en-GB"/>
              </w:rPr>
              <w:t>(0,989)</w:t>
            </w:r>
          </w:p>
        </w:tc>
        <w:tc>
          <w:tcPr>
            <w:tcW w:w="1329" w:type="dxa"/>
          </w:tcPr>
          <w:p w14:paraId="7FFA5FFC" w14:textId="77777777" w:rsidR="009229BE" w:rsidRPr="005F2BDE" w:rsidRDefault="00803B3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5F2BDE">
              <w:rPr>
                <w:sz w:val="18"/>
                <w:szCs w:val="18"/>
                <w:lang w:val="en-GB"/>
              </w:rPr>
              <w:t>-0,200</w:t>
            </w:r>
          </w:p>
          <w:p w14:paraId="3FD8B688" w14:textId="1E3F5DB3" w:rsidR="00803B3E" w:rsidRPr="005F2BDE" w:rsidRDefault="00803B3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5F2BDE">
              <w:rPr>
                <w:i/>
                <w:sz w:val="18"/>
                <w:szCs w:val="18"/>
                <w:lang w:val="en-GB"/>
              </w:rPr>
              <w:t>(0,039)</w:t>
            </w:r>
          </w:p>
        </w:tc>
        <w:tc>
          <w:tcPr>
            <w:tcW w:w="1329" w:type="dxa"/>
          </w:tcPr>
          <w:p w14:paraId="16330E8D" w14:textId="52A3D29B" w:rsidR="009229BE" w:rsidRPr="005F2BDE" w:rsidRDefault="00BE0633"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w:t>
            </w:r>
            <w:r w:rsidR="00803B3E" w:rsidRPr="005F2BDE">
              <w:rPr>
                <w:sz w:val="18"/>
                <w:szCs w:val="18"/>
                <w:lang w:val="en-GB"/>
              </w:rPr>
              <w:t>0,4</w:t>
            </w:r>
          </w:p>
          <w:p w14:paraId="711B97F5" w14:textId="27E1A2E6" w:rsidR="00803B3E" w:rsidRPr="005F2BDE" w:rsidRDefault="00803B3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5F2BDE">
              <w:rPr>
                <w:i/>
                <w:sz w:val="18"/>
                <w:szCs w:val="18"/>
                <w:lang w:val="en-GB"/>
              </w:rPr>
              <w:t>(0,017)</w:t>
            </w:r>
          </w:p>
        </w:tc>
        <w:tc>
          <w:tcPr>
            <w:tcW w:w="1328" w:type="dxa"/>
          </w:tcPr>
          <w:p w14:paraId="7C61D216" w14:textId="77777777" w:rsidR="009229BE" w:rsidRPr="005F2BDE" w:rsidRDefault="00803B3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5F2BDE">
              <w:rPr>
                <w:sz w:val="18"/>
                <w:szCs w:val="18"/>
                <w:lang w:val="en-GB"/>
              </w:rPr>
              <w:t>-0,138</w:t>
            </w:r>
          </w:p>
          <w:p w14:paraId="4AA173B6" w14:textId="5BB9A7A8" w:rsidR="00803B3E" w:rsidRPr="005F2BDE" w:rsidRDefault="00803B3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5F2BDE">
              <w:rPr>
                <w:i/>
                <w:sz w:val="18"/>
                <w:szCs w:val="18"/>
                <w:lang w:val="en-GB"/>
              </w:rPr>
              <w:t>(&lt;0,001)</w:t>
            </w:r>
          </w:p>
        </w:tc>
        <w:tc>
          <w:tcPr>
            <w:tcW w:w="1329" w:type="dxa"/>
          </w:tcPr>
          <w:p w14:paraId="775E4ABC" w14:textId="77777777" w:rsidR="009229BE" w:rsidRPr="005F2BDE" w:rsidRDefault="00803B3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5F2BDE">
              <w:rPr>
                <w:sz w:val="18"/>
                <w:szCs w:val="18"/>
                <w:lang w:val="en-GB"/>
              </w:rPr>
              <w:t>-0,15</w:t>
            </w:r>
          </w:p>
          <w:p w14:paraId="44E9FC1C" w14:textId="2F7D5CCF" w:rsidR="00803B3E" w:rsidRPr="005F2BDE" w:rsidRDefault="00803B3E"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5F2BDE">
              <w:rPr>
                <w:i/>
                <w:sz w:val="18"/>
                <w:szCs w:val="18"/>
                <w:lang w:val="en-GB"/>
              </w:rPr>
              <w:t>(0,958)</w:t>
            </w:r>
          </w:p>
        </w:tc>
        <w:tc>
          <w:tcPr>
            <w:tcW w:w="1329" w:type="dxa"/>
          </w:tcPr>
          <w:p w14:paraId="490B3E8C" w14:textId="77777777" w:rsidR="009229BE" w:rsidRPr="005F2BDE" w:rsidRDefault="00803B3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5F2BDE">
              <w:rPr>
                <w:sz w:val="18"/>
                <w:szCs w:val="18"/>
                <w:lang w:val="en-GB"/>
              </w:rPr>
              <w:t>-0,128</w:t>
            </w:r>
          </w:p>
          <w:p w14:paraId="5F7997C9" w14:textId="413929F4" w:rsidR="00803B3E" w:rsidRPr="005F2BDE" w:rsidRDefault="00803B3E"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5F2BDE">
              <w:rPr>
                <w:i/>
                <w:sz w:val="18"/>
                <w:szCs w:val="18"/>
                <w:lang w:val="en-GB"/>
              </w:rPr>
              <w:t>(0,217)</w:t>
            </w:r>
          </w:p>
        </w:tc>
      </w:tr>
      <w:tr w:rsidR="00803B3E" w:rsidRPr="005F2BDE" w14:paraId="25177871" w14:textId="77777777" w:rsidTr="00803B3E">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526" w:type="dxa"/>
          </w:tcPr>
          <w:p w14:paraId="525075F9" w14:textId="77777777" w:rsidR="00803B3E" w:rsidRPr="005F2BDE" w:rsidRDefault="00803B3E" w:rsidP="00803B3E">
            <w:pPr>
              <w:jc w:val="center"/>
              <w:rPr>
                <w:sz w:val="18"/>
                <w:szCs w:val="18"/>
                <w:lang w:val="en-GB"/>
              </w:rPr>
            </w:pPr>
            <w:r w:rsidRPr="005F2BDE">
              <w:rPr>
                <w:sz w:val="18"/>
                <w:szCs w:val="18"/>
                <w:lang w:val="en-GB"/>
              </w:rPr>
              <w:t>CA: 12 months</w:t>
            </w:r>
          </w:p>
          <w:p w14:paraId="17B7703E" w14:textId="1CAD47E2" w:rsidR="00803B3E" w:rsidRPr="005F2BDE" w:rsidRDefault="00803B3E" w:rsidP="00803B3E">
            <w:pPr>
              <w:jc w:val="center"/>
              <w:rPr>
                <w:sz w:val="18"/>
                <w:szCs w:val="18"/>
                <w:lang w:val="en-GB"/>
              </w:rPr>
            </w:pPr>
            <w:r w:rsidRPr="005F2BDE">
              <w:rPr>
                <w:i/>
                <w:sz w:val="18"/>
                <w:szCs w:val="18"/>
                <w:lang w:val="en-GB"/>
              </w:rPr>
              <w:t>(P-value)</w:t>
            </w:r>
          </w:p>
        </w:tc>
        <w:tc>
          <w:tcPr>
            <w:tcW w:w="1328" w:type="dxa"/>
          </w:tcPr>
          <w:p w14:paraId="436EFBC6" w14:textId="39457A16" w:rsidR="00803B3E" w:rsidRPr="005F2BDE" w:rsidRDefault="00BE0633"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w:t>
            </w:r>
            <w:r w:rsidR="00803B3E" w:rsidRPr="005F2BDE">
              <w:rPr>
                <w:sz w:val="18"/>
                <w:szCs w:val="18"/>
                <w:lang w:val="en-GB"/>
              </w:rPr>
              <w:t>1,58</w:t>
            </w:r>
          </w:p>
          <w:p w14:paraId="7359B2A4" w14:textId="65673527" w:rsidR="00803B3E" w:rsidRPr="005F2BDE" w:rsidRDefault="00803B3E"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5F2BDE">
              <w:rPr>
                <w:i/>
                <w:sz w:val="18"/>
                <w:szCs w:val="18"/>
                <w:lang w:val="en-GB"/>
              </w:rPr>
              <w:t>(0,478)</w:t>
            </w:r>
          </w:p>
        </w:tc>
        <w:tc>
          <w:tcPr>
            <w:tcW w:w="1329" w:type="dxa"/>
          </w:tcPr>
          <w:p w14:paraId="34F6D86C" w14:textId="77777777" w:rsidR="009229BE" w:rsidRPr="005F2BDE" w:rsidRDefault="00803B3E"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5F2BDE">
              <w:rPr>
                <w:sz w:val="18"/>
                <w:szCs w:val="18"/>
                <w:lang w:val="en-GB"/>
              </w:rPr>
              <w:t>-0,300</w:t>
            </w:r>
          </w:p>
          <w:p w14:paraId="53273FA7" w14:textId="26FC37D6" w:rsidR="00803B3E" w:rsidRPr="005F2BDE" w:rsidRDefault="00803B3E"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5F2BDE">
              <w:rPr>
                <w:i/>
                <w:sz w:val="18"/>
                <w:szCs w:val="18"/>
                <w:lang w:val="en-GB"/>
              </w:rPr>
              <w:t>(0,076)</w:t>
            </w:r>
          </w:p>
        </w:tc>
        <w:tc>
          <w:tcPr>
            <w:tcW w:w="1329" w:type="dxa"/>
          </w:tcPr>
          <w:p w14:paraId="44352F42" w14:textId="7FE88038" w:rsidR="009229BE" w:rsidRPr="005F2BDE" w:rsidRDefault="00BE0633"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w:t>
            </w:r>
            <w:r w:rsidR="00803B3E" w:rsidRPr="005F2BDE">
              <w:rPr>
                <w:sz w:val="18"/>
                <w:szCs w:val="18"/>
                <w:lang w:val="en-GB"/>
              </w:rPr>
              <w:t>1,1</w:t>
            </w:r>
          </w:p>
          <w:p w14:paraId="3C818593" w14:textId="76AC1F2E" w:rsidR="00803B3E" w:rsidRPr="005F2BDE" w:rsidRDefault="00803B3E"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5F2BDE">
              <w:rPr>
                <w:i/>
                <w:sz w:val="18"/>
                <w:szCs w:val="18"/>
                <w:lang w:val="en-GB"/>
              </w:rPr>
              <w:t>(0,036)</w:t>
            </w:r>
          </w:p>
        </w:tc>
        <w:tc>
          <w:tcPr>
            <w:tcW w:w="1328" w:type="dxa"/>
          </w:tcPr>
          <w:p w14:paraId="47C88BA9" w14:textId="77777777" w:rsidR="009229BE" w:rsidRPr="005F2BDE" w:rsidRDefault="00803B3E"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5F2BDE">
              <w:rPr>
                <w:sz w:val="18"/>
                <w:szCs w:val="18"/>
                <w:lang w:val="en-GB"/>
              </w:rPr>
              <w:t>-0,330</w:t>
            </w:r>
          </w:p>
          <w:p w14:paraId="4FEE3F34" w14:textId="63016690" w:rsidR="00803B3E" w:rsidRPr="005F2BDE" w:rsidRDefault="00803B3E"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5F2BDE">
              <w:rPr>
                <w:i/>
                <w:sz w:val="18"/>
                <w:szCs w:val="18"/>
                <w:lang w:val="en-GB"/>
              </w:rPr>
              <w:t>(0,006)</w:t>
            </w:r>
          </w:p>
        </w:tc>
        <w:tc>
          <w:tcPr>
            <w:tcW w:w="1329" w:type="dxa"/>
          </w:tcPr>
          <w:p w14:paraId="1F59F06E" w14:textId="56612D49" w:rsidR="009229BE" w:rsidRPr="005F2BDE" w:rsidRDefault="00BE0633" w:rsidP="009229B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w:t>
            </w:r>
            <w:r w:rsidR="00803B3E" w:rsidRPr="005F2BDE">
              <w:rPr>
                <w:sz w:val="18"/>
                <w:szCs w:val="18"/>
                <w:lang w:val="en-GB"/>
              </w:rPr>
              <w:t>0,29</w:t>
            </w:r>
          </w:p>
          <w:p w14:paraId="08C0D9E5" w14:textId="7A440AA9" w:rsidR="00803B3E" w:rsidRPr="005F2BDE" w:rsidRDefault="00803B3E" w:rsidP="009229BE">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5F2BDE">
              <w:rPr>
                <w:i/>
                <w:sz w:val="18"/>
                <w:szCs w:val="18"/>
                <w:lang w:val="en-GB"/>
              </w:rPr>
              <w:t>(0,680)</w:t>
            </w:r>
          </w:p>
        </w:tc>
        <w:tc>
          <w:tcPr>
            <w:tcW w:w="1329" w:type="dxa"/>
          </w:tcPr>
          <w:p w14:paraId="14FCFDB5" w14:textId="77777777" w:rsidR="009229BE" w:rsidRPr="005F2BDE" w:rsidRDefault="00803B3E"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5F2BDE">
              <w:rPr>
                <w:sz w:val="18"/>
                <w:szCs w:val="18"/>
                <w:lang w:val="en-GB"/>
              </w:rPr>
              <w:t>-0,190</w:t>
            </w:r>
          </w:p>
          <w:p w14:paraId="6973E727" w14:textId="7CA9B11F" w:rsidR="00803B3E" w:rsidRPr="005F2BDE" w:rsidRDefault="00803B3E"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5F2BDE">
              <w:rPr>
                <w:i/>
                <w:sz w:val="18"/>
                <w:szCs w:val="18"/>
                <w:lang w:val="en-GB"/>
              </w:rPr>
              <w:t>(0,304)</w:t>
            </w:r>
          </w:p>
        </w:tc>
      </w:tr>
      <w:tr w:rsidR="00803B3E" w:rsidRPr="005F2BDE" w14:paraId="46032E48" w14:textId="77777777" w:rsidTr="00803B3E">
        <w:trPr>
          <w:trHeight w:val="449"/>
        </w:trPr>
        <w:tc>
          <w:tcPr>
            <w:cnfStyle w:val="001000000000" w:firstRow="0" w:lastRow="0" w:firstColumn="1" w:lastColumn="0" w:oddVBand="0" w:evenVBand="0" w:oddHBand="0" w:evenHBand="0" w:firstRowFirstColumn="0" w:firstRowLastColumn="0" w:lastRowFirstColumn="0" w:lastRowLastColumn="0"/>
            <w:tcW w:w="1526" w:type="dxa"/>
          </w:tcPr>
          <w:p w14:paraId="363EE4AE" w14:textId="77777777" w:rsidR="00803B3E" w:rsidRPr="005F2BDE" w:rsidRDefault="00803B3E" w:rsidP="00803B3E">
            <w:pPr>
              <w:jc w:val="center"/>
              <w:rPr>
                <w:sz w:val="18"/>
                <w:szCs w:val="18"/>
                <w:lang w:val="en-GB"/>
              </w:rPr>
            </w:pPr>
            <w:r w:rsidRPr="005F2BDE">
              <w:rPr>
                <w:sz w:val="18"/>
                <w:szCs w:val="18"/>
                <w:lang w:val="en-GB"/>
              </w:rPr>
              <w:t>CA: CA+E</w:t>
            </w:r>
          </w:p>
          <w:p w14:paraId="47B2CBBE" w14:textId="53B41C47" w:rsidR="00803B3E" w:rsidRPr="005F2BDE" w:rsidRDefault="00803B3E" w:rsidP="00803B3E">
            <w:pPr>
              <w:jc w:val="center"/>
              <w:rPr>
                <w:sz w:val="18"/>
                <w:szCs w:val="18"/>
                <w:lang w:val="en-GB"/>
              </w:rPr>
            </w:pPr>
            <w:r w:rsidRPr="005F2BDE">
              <w:rPr>
                <w:i/>
                <w:sz w:val="18"/>
                <w:szCs w:val="18"/>
                <w:lang w:val="en-GB"/>
              </w:rPr>
              <w:t>(P-value)</w:t>
            </w:r>
          </w:p>
        </w:tc>
        <w:tc>
          <w:tcPr>
            <w:tcW w:w="1328" w:type="dxa"/>
          </w:tcPr>
          <w:p w14:paraId="07F4A96A" w14:textId="5E68B9CE" w:rsidR="00803B3E" w:rsidRPr="005F2BDE" w:rsidRDefault="00BE0633"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w:t>
            </w:r>
            <w:r w:rsidR="00803B3E" w:rsidRPr="005F2BDE">
              <w:rPr>
                <w:sz w:val="18"/>
                <w:szCs w:val="18"/>
                <w:lang w:val="en-GB"/>
              </w:rPr>
              <w:t xml:space="preserve">1,21 </w:t>
            </w:r>
          </w:p>
          <w:p w14:paraId="313F1FBA" w14:textId="48A89F50" w:rsidR="00803B3E" w:rsidRPr="005F2BDE" w:rsidRDefault="00803B3E"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5F2BDE">
              <w:rPr>
                <w:i/>
                <w:sz w:val="18"/>
                <w:szCs w:val="18"/>
                <w:lang w:val="en-GB"/>
              </w:rPr>
              <w:t>(0,525)</w:t>
            </w:r>
          </w:p>
        </w:tc>
        <w:tc>
          <w:tcPr>
            <w:tcW w:w="1329" w:type="dxa"/>
          </w:tcPr>
          <w:p w14:paraId="1012A7A4" w14:textId="77777777" w:rsidR="009229BE" w:rsidRPr="005F2BDE" w:rsidRDefault="00803B3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5F2BDE">
              <w:rPr>
                <w:sz w:val="18"/>
                <w:szCs w:val="18"/>
                <w:lang w:val="en-GB"/>
              </w:rPr>
              <w:t>-0,311</w:t>
            </w:r>
          </w:p>
          <w:p w14:paraId="5DB0E508" w14:textId="7A079601" w:rsidR="00803B3E" w:rsidRPr="005F2BDE" w:rsidRDefault="00803B3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5F2BDE">
              <w:rPr>
                <w:i/>
                <w:sz w:val="18"/>
                <w:szCs w:val="18"/>
                <w:lang w:val="en-GB"/>
              </w:rPr>
              <w:t>(0,018)</w:t>
            </w:r>
          </w:p>
        </w:tc>
        <w:tc>
          <w:tcPr>
            <w:tcW w:w="1329" w:type="dxa"/>
          </w:tcPr>
          <w:p w14:paraId="160B174D" w14:textId="3BE4F99F" w:rsidR="009229BE" w:rsidRPr="005F2BDE" w:rsidRDefault="00BE0633" w:rsidP="009229BE">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w:t>
            </w:r>
            <w:r w:rsidR="00803B3E" w:rsidRPr="005F2BDE">
              <w:rPr>
                <w:sz w:val="18"/>
                <w:szCs w:val="18"/>
                <w:lang w:val="en-GB"/>
              </w:rPr>
              <w:t>1,0</w:t>
            </w:r>
          </w:p>
          <w:p w14:paraId="615D7263" w14:textId="395892F8" w:rsidR="00803B3E" w:rsidRPr="005F2BDE" w:rsidRDefault="00803B3E" w:rsidP="009229BE">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5F2BDE">
              <w:rPr>
                <w:i/>
                <w:sz w:val="18"/>
                <w:szCs w:val="18"/>
                <w:lang w:val="en-GB"/>
              </w:rPr>
              <w:t>(0,013)</w:t>
            </w:r>
          </w:p>
        </w:tc>
        <w:tc>
          <w:tcPr>
            <w:tcW w:w="1328" w:type="dxa"/>
          </w:tcPr>
          <w:p w14:paraId="1460C415" w14:textId="77777777" w:rsidR="009229BE" w:rsidRPr="005F2BDE" w:rsidRDefault="00803B3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5F2BDE">
              <w:rPr>
                <w:sz w:val="18"/>
                <w:szCs w:val="18"/>
                <w:lang w:val="en-GB"/>
              </w:rPr>
              <w:t>-0,338</w:t>
            </w:r>
          </w:p>
          <w:p w14:paraId="58FA244B" w14:textId="362068C9" w:rsidR="00803B3E" w:rsidRPr="005F2BDE" w:rsidRDefault="00803B3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5F2BDE">
              <w:rPr>
                <w:i/>
                <w:sz w:val="18"/>
                <w:szCs w:val="18"/>
                <w:lang w:val="en-GB"/>
              </w:rPr>
              <w:t>(0,004)</w:t>
            </w:r>
          </w:p>
        </w:tc>
        <w:tc>
          <w:tcPr>
            <w:tcW w:w="1329" w:type="dxa"/>
          </w:tcPr>
          <w:p w14:paraId="5B6493BB" w14:textId="11F5F6CB" w:rsidR="009229BE" w:rsidRPr="005F2BDE" w:rsidRDefault="00BE0633"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w:t>
            </w:r>
            <w:r w:rsidR="00803B3E" w:rsidRPr="005F2BDE">
              <w:rPr>
                <w:sz w:val="18"/>
                <w:szCs w:val="18"/>
                <w:lang w:val="en-GB"/>
              </w:rPr>
              <w:t>0,18</w:t>
            </w:r>
          </w:p>
          <w:p w14:paraId="31BE8903" w14:textId="371FD614" w:rsidR="00803B3E" w:rsidRPr="005F2BDE" w:rsidRDefault="00803B3E"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5F2BDE">
              <w:rPr>
                <w:i/>
                <w:sz w:val="18"/>
                <w:szCs w:val="18"/>
                <w:lang w:val="en-GB"/>
              </w:rPr>
              <w:t>(0,663)</w:t>
            </w:r>
          </w:p>
        </w:tc>
        <w:tc>
          <w:tcPr>
            <w:tcW w:w="1329" w:type="dxa"/>
          </w:tcPr>
          <w:p w14:paraId="7690EB36" w14:textId="77777777" w:rsidR="009229BE" w:rsidRPr="005F2BDE" w:rsidRDefault="00803B3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5F2BDE">
              <w:rPr>
                <w:sz w:val="18"/>
                <w:szCs w:val="18"/>
                <w:lang w:val="en-GB"/>
              </w:rPr>
              <w:t>-0,172</w:t>
            </w:r>
          </w:p>
          <w:p w14:paraId="759B0989" w14:textId="6FF073A1" w:rsidR="00803B3E" w:rsidRPr="005F2BDE" w:rsidRDefault="00803B3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5F2BDE">
              <w:rPr>
                <w:i/>
                <w:sz w:val="18"/>
                <w:szCs w:val="18"/>
                <w:lang w:val="en-GB"/>
              </w:rPr>
              <w:t>(0,205)</w:t>
            </w:r>
          </w:p>
        </w:tc>
      </w:tr>
      <w:tr w:rsidR="00803B3E" w:rsidRPr="005F2BDE" w14:paraId="066933FA" w14:textId="77777777" w:rsidTr="00803B3E">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526" w:type="dxa"/>
          </w:tcPr>
          <w:p w14:paraId="22DB1B39" w14:textId="77777777" w:rsidR="00803B3E" w:rsidRPr="005F2BDE" w:rsidRDefault="00803B3E" w:rsidP="00803B3E">
            <w:pPr>
              <w:jc w:val="center"/>
              <w:rPr>
                <w:sz w:val="18"/>
                <w:szCs w:val="18"/>
                <w:lang w:val="en-GB"/>
              </w:rPr>
            </w:pPr>
            <w:r w:rsidRPr="005F2BDE">
              <w:rPr>
                <w:sz w:val="18"/>
                <w:szCs w:val="18"/>
                <w:lang w:val="en-GB"/>
              </w:rPr>
              <w:t>CA+E: 6 months</w:t>
            </w:r>
          </w:p>
          <w:p w14:paraId="49262341" w14:textId="0CDF21E1" w:rsidR="00803B3E" w:rsidRPr="005F2BDE" w:rsidRDefault="00803B3E" w:rsidP="00803B3E">
            <w:pPr>
              <w:jc w:val="center"/>
              <w:rPr>
                <w:sz w:val="18"/>
                <w:szCs w:val="18"/>
                <w:lang w:val="en-GB"/>
              </w:rPr>
            </w:pPr>
            <w:r w:rsidRPr="005F2BDE">
              <w:rPr>
                <w:i/>
                <w:sz w:val="18"/>
                <w:szCs w:val="18"/>
                <w:lang w:val="en-GB"/>
              </w:rPr>
              <w:t>(P-value)</w:t>
            </w:r>
          </w:p>
        </w:tc>
        <w:tc>
          <w:tcPr>
            <w:tcW w:w="1328" w:type="dxa"/>
          </w:tcPr>
          <w:p w14:paraId="1B140144" w14:textId="68B02D19" w:rsidR="00803B3E" w:rsidRPr="005F2BDE" w:rsidRDefault="00BE0633"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w:t>
            </w:r>
            <w:r w:rsidR="00803B3E" w:rsidRPr="005F2BDE">
              <w:rPr>
                <w:sz w:val="18"/>
                <w:szCs w:val="18"/>
                <w:lang w:val="en-GB"/>
              </w:rPr>
              <w:t xml:space="preserve">0,45 </w:t>
            </w:r>
          </w:p>
          <w:p w14:paraId="572351E6" w14:textId="6BCFB9B3" w:rsidR="00803B3E" w:rsidRPr="005F2BDE" w:rsidRDefault="00803B3E"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5F2BDE">
              <w:rPr>
                <w:i/>
                <w:sz w:val="18"/>
                <w:szCs w:val="18"/>
                <w:lang w:val="en-GB"/>
              </w:rPr>
              <w:t>(0,513)</w:t>
            </w:r>
          </w:p>
        </w:tc>
        <w:tc>
          <w:tcPr>
            <w:tcW w:w="1329" w:type="dxa"/>
          </w:tcPr>
          <w:p w14:paraId="45D4911A" w14:textId="77777777" w:rsidR="009229BE" w:rsidRPr="005F2BDE" w:rsidRDefault="00803B3E"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5F2BDE">
              <w:rPr>
                <w:sz w:val="18"/>
                <w:szCs w:val="18"/>
                <w:lang w:val="en-GB"/>
              </w:rPr>
              <w:t>-0,053</w:t>
            </w:r>
          </w:p>
          <w:p w14:paraId="0109C3DE" w14:textId="4CBB3B08" w:rsidR="00803B3E" w:rsidRPr="005F2BDE" w:rsidRDefault="00803B3E"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5F2BDE">
              <w:rPr>
                <w:i/>
                <w:sz w:val="18"/>
                <w:szCs w:val="18"/>
                <w:lang w:val="en-GB"/>
              </w:rPr>
              <w:t>(0,443)</w:t>
            </w:r>
          </w:p>
        </w:tc>
        <w:tc>
          <w:tcPr>
            <w:tcW w:w="1329" w:type="dxa"/>
          </w:tcPr>
          <w:p w14:paraId="772217EB" w14:textId="3D355D1B" w:rsidR="009229BE" w:rsidRPr="005F2BDE" w:rsidRDefault="00BE0633"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w:t>
            </w:r>
            <w:r w:rsidR="00803B3E" w:rsidRPr="005F2BDE">
              <w:rPr>
                <w:sz w:val="18"/>
                <w:szCs w:val="18"/>
                <w:lang w:val="en-GB"/>
              </w:rPr>
              <w:t>0,2</w:t>
            </w:r>
          </w:p>
          <w:p w14:paraId="121EC5EB" w14:textId="103C5F56" w:rsidR="00803B3E" w:rsidRPr="005F2BDE" w:rsidRDefault="00803B3E"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5F2BDE">
              <w:rPr>
                <w:i/>
                <w:sz w:val="18"/>
                <w:szCs w:val="18"/>
                <w:lang w:val="en-GB"/>
              </w:rPr>
              <w:t>(0,034)</w:t>
            </w:r>
          </w:p>
        </w:tc>
        <w:tc>
          <w:tcPr>
            <w:tcW w:w="1328" w:type="dxa"/>
          </w:tcPr>
          <w:p w14:paraId="6D9B0574" w14:textId="77777777" w:rsidR="009229BE" w:rsidRPr="005F2BDE" w:rsidRDefault="00803B3E"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5F2BDE">
              <w:rPr>
                <w:sz w:val="18"/>
                <w:szCs w:val="18"/>
                <w:lang w:val="en-GB"/>
              </w:rPr>
              <w:t>-0,046</w:t>
            </w:r>
          </w:p>
          <w:p w14:paraId="419B782D" w14:textId="70BF1524" w:rsidR="00803B3E" w:rsidRPr="005F2BDE" w:rsidRDefault="00803B3E"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5F2BDE">
              <w:rPr>
                <w:i/>
                <w:sz w:val="18"/>
                <w:szCs w:val="18"/>
                <w:lang w:val="en-GB"/>
              </w:rPr>
              <w:t>(0,053)</w:t>
            </w:r>
          </w:p>
        </w:tc>
        <w:tc>
          <w:tcPr>
            <w:tcW w:w="1329" w:type="dxa"/>
          </w:tcPr>
          <w:p w14:paraId="7B8330AD" w14:textId="744B26DD" w:rsidR="009229BE" w:rsidRPr="005F2BDE" w:rsidRDefault="00BE0633"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w:t>
            </w:r>
            <w:r w:rsidR="00803B3E" w:rsidRPr="005F2BDE">
              <w:rPr>
                <w:sz w:val="18"/>
                <w:szCs w:val="18"/>
                <w:lang w:val="en-GB"/>
              </w:rPr>
              <w:t>0,12</w:t>
            </w:r>
          </w:p>
          <w:p w14:paraId="3537D4E7" w14:textId="6201D632" w:rsidR="00803B3E" w:rsidRPr="005F2BDE" w:rsidRDefault="00803B3E"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5F2BDE">
              <w:rPr>
                <w:i/>
                <w:sz w:val="18"/>
                <w:szCs w:val="18"/>
                <w:lang w:val="en-GB"/>
              </w:rPr>
              <w:t>(0,423)</w:t>
            </w:r>
          </w:p>
        </w:tc>
        <w:tc>
          <w:tcPr>
            <w:tcW w:w="1329" w:type="dxa"/>
          </w:tcPr>
          <w:p w14:paraId="097E2D2B" w14:textId="77777777" w:rsidR="009229BE" w:rsidRPr="005F2BDE" w:rsidRDefault="00803B3E"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5F2BDE">
              <w:rPr>
                <w:sz w:val="18"/>
                <w:szCs w:val="18"/>
                <w:lang w:val="en-GB"/>
              </w:rPr>
              <w:t>-0,076</w:t>
            </w:r>
          </w:p>
          <w:p w14:paraId="39EF80C7" w14:textId="22935705" w:rsidR="00803B3E" w:rsidRPr="005F2BDE" w:rsidRDefault="00803B3E"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5F2BDE">
              <w:rPr>
                <w:i/>
                <w:sz w:val="18"/>
                <w:szCs w:val="18"/>
                <w:lang w:val="en-GB"/>
              </w:rPr>
              <w:t>(0,342)</w:t>
            </w:r>
          </w:p>
        </w:tc>
      </w:tr>
      <w:tr w:rsidR="00803B3E" w:rsidRPr="005F2BDE" w14:paraId="65B74B9B" w14:textId="77777777" w:rsidTr="00803B3E">
        <w:trPr>
          <w:trHeight w:val="449"/>
        </w:trPr>
        <w:tc>
          <w:tcPr>
            <w:cnfStyle w:val="001000000000" w:firstRow="0" w:lastRow="0" w:firstColumn="1" w:lastColumn="0" w:oddVBand="0" w:evenVBand="0" w:oddHBand="0" w:evenHBand="0" w:firstRowFirstColumn="0" w:firstRowLastColumn="0" w:lastRowFirstColumn="0" w:lastRowLastColumn="0"/>
            <w:tcW w:w="1526" w:type="dxa"/>
          </w:tcPr>
          <w:p w14:paraId="066D8B33" w14:textId="77777777" w:rsidR="00803B3E" w:rsidRPr="005F2BDE" w:rsidRDefault="00803B3E" w:rsidP="00803B3E">
            <w:pPr>
              <w:jc w:val="center"/>
              <w:rPr>
                <w:sz w:val="18"/>
                <w:szCs w:val="18"/>
                <w:lang w:val="en-GB"/>
              </w:rPr>
            </w:pPr>
            <w:r w:rsidRPr="005F2BDE">
              <w:rPr>
                <w:sz w:val="18"/>
                <w:szCs w:val="18"/>
                <w:lang w:val="en-GB"/>
              </w:rPr>
              <w:t>CA+E: 12 months</w:t>
            </w:r>
          </w:p>
          <w:p w14:paraId="611522A0" w14:textId="720FE268" w:rsidR="00803B3E" w:rsidRPr="005F2BDE" w:rsidRDefault="00803B3E" w:rsidP="00803B3E">
            <w:pPr>
              <w:jc w:val="center"/>
              <w:rPr>
                <w:sz w:val="18"/>
                <w:szCs w:val="18"/>
                <w:lang w:val="en-GB"/>
              </w:rPr>
            </w:pPr>
            <w:r w:rsidRPr="005F2BDE">
              <w:rPr>
                <w:i/>
                <w:sz w:val="18"/>
                <w:szCs w:val="18"/>
                <w:lang w:val="en-GB"/>
              </w:rPr>
              <w:t>(P-value)</w:t>
            </w:r>
          </w:p>
        </w:tc>
        <w:tc>
          <w:tcPr>
            <w:tcW w:w="1328" w:type="dxa"/>
          </w:tcPr>
          <w:p w14:paraId="3453E9C5" w14:textId="2AF518B4" w:rsidR="00803B3E" w:rsidRPr="005F2BDE" w:rsidRDefault="00BE0633"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w:t>
            </w:r>
            <w:r w:rsidR="00803B3E" w:rsidRPr="005F2BDE">
              <w:rPr>
                <w:sz w:val="18"/>
                <w:szCs w:val="18"/>
                <w:lang w:val="en-GB"/>
              </w:rPr>
              <w:t>2,27</w:t>
            </w:r>
          </w:p>
          <w:p w14:paraId="02DE4D96" w14:textId="610C6A39" w:rsidR="00803B3E" w:rsidRPr="005F2BDE" w:rsidRDefault="00803B3E"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5F2BDE">
              <w:rPr>
                <w:i/>
                <w:sz w:val="18"/>
                <w:szCs w:val="18"/>
                <w:lang w:val="en-GB"/>
              </w:rPr>
              <w:t>(0,050)</w:t>
            </w:r>
          </w:p>
        </w:tc>
        <w:tc>
          <w:tcPr>
            <w:tcW w:w="1329" w:type="dxa"/>
          </w:tcPr>
          <w:p w14:paraId="475C0DF4" w14:textId="62DAB92F" w:rsidR="009229BE" w:rsidRPr="005F2BDE" w:rsidRDefault="00BE0633"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w:t>
            </w:r>
            <w:r w:rsidR="00803B3E" w:rsidRPr="005F2BDE">
              <w:rPr>
                <w:sz w:val="18"/>
                <w:szCs w:val="18"/>
                <w:lang w:val="en-GB"/>
              </w:rPr>
              <w:t>0,037</w:t>
            </w:r>
          </w:p>
          <w:p w14:paraId="255337D4" w14:textId="306FAD67" w:rsidR="00803B3E" w:rsidRPr="005F2BDE" w:rsidRDefault="00803B3E"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5F2BDE">
              <w:rPr>
                <w:i/>
                <w:sz w:val="18"/>
                <w:szCs w:val="18"/>
                <w:lang w:val="en-GB"/>
              </w:rPr>
              <w:t>(0,757)</w:t>
            </w:r>
          </w:p>
        </w:tc>
        <w:tc>
          <w:tcPr>
            <w:tcW w:w="1329" w:type="dxa"/>
          </w:tcPr>
          <w:p w14:paraId="24266E66" w14:textId="2778CFF3" w:rsidR="009229BE" w:rsidRPr="005F2BDE" w:rsidRDefault="00BE0633"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w:t>
            </w:r>
            <w:r w:rsidR="00803B3E" w:rsidRPr="005F2BDE">
              <w:rPr>
                <w:sz w:val="18"/>
                <w:szCs w:val="18"/>
                <w:lang w:val="en-GB"/>
              </w:rPr>
              <w:t>0,3</w:t>
            </w:r>
          </w:p>
          <w:p w14:paraId="2F2BB45D" w14:textId="78C7CD93" w:rsidR="00803B3E" w:rsidRPr="005F2BDE" w:rsidRDefault="00803B3E"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5F2BDE">
              <w:rPr>
                <w:i/>
                <w:sz w:val="18"/>
                <w:szCs w:val="18"/>
                <w:lang w:val="en-GB"/>
              </w:rPr>
              <w:t>(0,122)</w:t>
            </w:r>
          </w:p>
        </w:tc>
        <w:tc>
          <w:tcPr>
            <w:tcW w:w="1328" w:type="dxa"/>
          </w:tcPr>
          <w:p w14:paraId="60851845" w14:textId="77777777" w:rsidR="009229BE" w:rsidRPr="005F2BDE" w:rsidRDefault="00803B3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5F2BDE">
              <w:rPr>
                <w:sz w:val="18"/>
                <w:szCs w:val="18"/>
                <w:lang w:val="en-GB"/>
              </w:rPr>
              <w:t>-0,128</w:t>
            </w:r>
          </w:p>
          <w:p w14:paraId="3AB32DA0" w14:textId="12EB1B5A" w:rsidR="00803B3E" w:rsidRPr="005F2BDE" w:rsidRDefault="00803B3E"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5F2BDE">
              <w:rPr>
                <w:i/>
                <w:sz w:val="18"/>
                <w:szCs w:val="18"/>
                <w:lang w:val="en-GB"/>
              </w:rPr>
              <w:t>(0,012)</w:t>
            </w:r>
          </w:p>
        </w:tc>
        <w:tc>
          <w:tcPr>
            <w:tcW w:w="1329" w:type="dxa"/>
          </w:tcPr>
          <w:p w14:paraId="09DE6CE4" w14:textId="4DBFE401" w:rsidR="009229BE" w:rsidRPr="005F2BDE" w:rsidRDefault="00BE0633"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w:t>
            </w:r>
            <w:r w:rsidR="00803B3E" w:rsidRPr="005F2BDE">
              <w:rPr>
                <w:sz w:val="18"/>
                <w:szCs w:val="18"/>
                <w:lang w:val="en-GB"/>
              </w:rPr>
              <w:t>0,63</w:t>
            </w:r>
          </w:p>
          <w:p w14:paraId="12321FBA" w14:textId="0C3C8C48" w:rsidR="00803B3E" w:rsidRPr="005F2BDE" w:rsidRDefault="00803B3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5F2BDE">
              <w:rPr>
                <w:i/>
                <w:sz w:val="18"/>
                <w:szCs w:val="18"/>
                <w:lang w:val="en-GB"/>
              </w:rPr>
              <w:t>(0,028)</w:t>
            </w:r>
          </w:p>
        </w:tc>
        <w:tc>
          <w:tcPr>
            <w:tcW w:w="1329" w:type="dxa"/>
          </w:tcPr>
          <w:p w14:paraId="6A1EF9E6" w14:textId="77777777" w:rsidR="009229BE" w:rsidRPr="005F2BDE" w:rsidRDefault="00803B3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5F2BDE">
              <w:rPr>
                <w:sz w:val="18"/>
                <w:szCs w:val="18"/>
                <w:lang w:val="en-GB"/>
              </w:rPr>
              <w:t>-0,014</w:t>
            </w:r>
          </w:p>
          <w:p w14:paraId="27F7EE53" w14:textId="33128FAF" w:rsidR="00803B3E" w:rsidRPr="005F2BDE" w:rsidRDefault="00803B3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5F2BDE">
              <w:rPr>
                <w:i/>
                <w:sz w:val="18"/>
                <w:szCs w:val="18"/>
                <w:lang w:val="en-GB"/>
              </w:rPr>
              <w:t>(0,766)</w:t>
            </w:r>
          </w:p>
        </w:tc>
      </w:tr>
    </w:tbl>
    <w:p w14:paraId="238F1E02" w14:textId="78B5EABB" w:rsidR="009E1802" w:rsidRDefault="009E1802" w:rsidP="009E1802">
      <w:pPr>
        <w:spacing w:after="0"/>
        <w:jc w:val="both"/>
        <w:rPr>
          <w:sz w:val="18"/>
          <w:szCs w:val="18"/>
          <w:lang w:val="en-GB"/>
        </w:rPr>
      </w:pPr>
      <w:r>
        <w:rPr>
          <w:sz w:val="18"/>
          <w:szCs w:val="18"/>
          <w:lang w:val="en-GB"/>
        </w:rPr>
        <w:t>CA: 6 months</w:t>
      </w:r>
      <w:r w:rsidRPr="0088711A">
        <w:rPr>
          <w:sz w:val="18"/>
          <w:szCs w:val="18"/>
          <w:lang w:val="en-GB"/>
        </w:rPr>
        <w:t xml:space="preserve">: mean </w:t>
      </w:r>
      <w:r>
        <w:rPr>
          <w:sz w:val="18"/>
          <w:szCs w:val="18"/>
          <w:lang w:val="en-GB"/>
        </w:rPr>
        <w:t>difference after 6 months of CA</w:t>
      </w:r>
      <w:r w:rsidR="009F4A32">
        <w:rPr>
          <w:sz w:val="18"/>
          <w:szCs w:val="18"/>
          <w:lang w:val="en-GB"/>
        </w:rPr>
        <w:t xml:space="preserve"> (compared with start of CA)</w:t>
      </w:r>
      <w:r w:rsidRPr="009D2539">
        <w:rPr>
          <w:sz w:val="18"/>
          <w:szCs w:val="18"/>
          <w:lang w:val="en-GB"/>
        </w:rPr>
        <w:t xml:space="preserve">; </w:t>
      </w:r>
      <w:r>
        <w:rPr>
          <w:sz w:val="18"/>
          <w:szCs w:val="18"/>
          <w:lang w:val="en-GB"/>
        </w:rPr>
        <w:t xml:space="preserve">CA: 12 </w:t>
      </w:r>
      <w:r w:rsidRPr="009D2539">
        <w:rPr>
          <w:sz w:val="18"/>
          <w:szCs w:val="18"/>
          <w:lang w:val="en-GB"/>
        </w:rPr>
        <w:t>m</w:t>
      </w:r>
      <w:r>
        <w:rPr>
          <w:sz w:val="18"/>
          <w:szCs w:val="18"/>
          <w:lang w:val="en-GB"/>
        </w:rPr>
        <w:t>onths</w:t>
      </w:r>
      <w:r w:rsidRPr="009D2539">
        <w:rPr>
          <w:sz w:val="18"/>
          <w:szCs w:val="18"/>
          <w:lang w:val="en-GB"/>
        </w:rPr>
        <w:t xml:space="preserve">: </w:t>
      </w:r>
      <w:r>
        <w:rPr>
          <w:sz w:val="18"/>
          <w:szCs w:val="18"/>
          <w:lang w:val="en-GB"/>
        </w:rPr>
        <w:t>mean</w:t>
      </w:r>
      <w:r w:rsidRPr="009D2539">
        <w:rPr>
          <w:sz w:val="18"/>
          <w:szCs w:val="18"/>
          <w:lang w:val="en-GB"/>
        </w:rPr>
        <w:t xml:space="preserve"> </w:t>
      </w:r>
      <w:r>
        <w:rPr>
          <w:sz w:val="18"/>
          <w:szCs w:val="18"/>
          <w:lang w:val="en-GB"/>
        </w:rPr>
        <w:t>difference after 12 months of CA</w:t>
      </w:r>
      <w:r w:rsidR="009F4A32">
        <w:rPr>
          <w:sz w:val="18"/>
          <w:szCs w:val="18"/>
          <w:lang w:val="en-GB"/>
        </w:rPr>
        <w:t xml:space="preserve"> (compared with start of CA)</w:t>
      </w:r>
      <w:r w:rsidRPr="009D2539">
        <w:rPr>
          <w:sz w:val="18"/>
          <w:szCs w:val="18"/>
          <w:lang w:val="en-GB"/>
        </w:rPr>
        <w:t xml:space="preserve">; </w:t>
      </w:r>
      <w:r>
        <w:rPr>
          <w:sz w:val="18"/>
          <w:szCs w:val="18"/>
          <w:lang w:val="en-GB"/>
        </w:rPr>
        <w:t>CA: CA+E: mean difference during entire monotherapy with CA; CA+E: 6 months: mean difference after 6 months of CA+E</w:t>
      </w:r>
      <w:r w:rsidR="009F4A32">
        <w:rPr>
          <w:sz w:val="18"/>
          <w:szCs w:val="18"/>
          <w:lang w:val="en-GB"/>
        </w:rPr>
        <w:t xml:space="preserve"> (compared with start of CA+E)</w:t>
      </w:r>
      <w:r>
        <w:rPr>
          <w:sz w:val="18"/>
          <w:szCs w:val="18"/>
          <w:lang w:val="en-GB"/>
        </w:rPr>
        <w:t>; CA+E: 12 months: mean difference after 12 months of CA+E</w:t>
      </w:r>
      <w:r w:rsidR="009F4A32">
        <w:rPr>
          <w:sz w:val="18"/>
          <w:szCs w:val="18"/>
          <w:lang w:val="en-GB"/>
        </w:rPr>
        <w:t xml:space="preserve"> (compared with start of CA+E)</w:t>
      </w:r>
      <w:r>
        <w:rPr>
          <w:sz w:val="18"/>
          <w:szCs w:val="18"/>
          <w:lang w:val="en-GB"/>
        </w:rPr>
        <w:t xml:space="preserve">; P-value: result of statistical tests; Weight: difference expressed in kg; Height expressed in cm; BMI: difference in kg/m². </w:t>
      </w:r>
      <w:r w:rsidRPr="009D2539">
        <w:rPr>
          <w:sz w:val="18"/>
          <w:szCs w:val="18"/>
          <w:lang w:val="en-GB"/>
        </w:rPr>
        <w:t xml:space="preserve">SD: standard deviation in </w:t>
      </w:r>
      <w:r w:rsidRPr="0088711A">
        <w:rPr>
          <w:sz w:val="18"/>
          <w:szCs w:val="18"/>
          <w:lang w:val="en-GB"/>
        </w:rPr>
        <w:t>comparison with Flemish peers</w:t>
      </w:r>
      <w:r>
        <w:rPr>
          <w:sz w:val="18"/>
          <w:szCs w:val="18"/>
          <w:lang w:val="en-GB"/>
        </w:rPr>
        <w:t xml:space="preserve"> </w:t>
      </w:r>
      <w:r>
        <w:rPr>
          <w:sz w:val="18"/>
          <w:szCs w:val="18"/>
          <w:lang w:val="en-GB"/>
        </w:rPr>
        <w:fldChar w:fldCharType="begin" w:fldLock="1"/>
      </w:r>
      <w:r w:rsidR="002C52CA">
        <w:rPr>
          <w:sz w:val="18"/>
          <w:szCs w:val="18"/>
          <w:lang w:val="en-GB"/>
        </w:rPr>
        <w:instrText>ADDIN CSL_CITATION { "citationItems" : [ { "id" : "ITEM-1", "itemData" : { "DOI" : "10.3109/03014460903049074", "ISSN" : "1464-5033", "PMID" : "19919503", "abstract" : "BACKGROUND: Due to the secular trend in length and height, growth references need to be updated regularly. Reference charts that were until recently used in Belgium are based on samples collected more than 30 years ago, and references for body mass index (BMI) and pubertal development have not been established before.\n\nAIMS: To establish contemporary cross-sectional reference charts for height, weight, BMI, head circumference, and pubertal development from birth to 21 years of age, based on a representative sample of children from Flanders, Belgium.\n\nSUBJECTS AND METHODS: 15 989 healthy subjects of Belgian origin, 0-25 years of age, were measured in 2002-2004. Growth curves were fitted with the LMS method, and percentiles for the pubertal development were estimated with generalized additive models on status quo data from 8690 subjects aged 6-22 years of age.\n\nRESULTS: A positive secular trend in height and weight is observed in children above 5 years of age. Adult median height has increased by 1.2 cm/decade in boys and 0.8 cm/decade in girls; median weight by 0.9 kg/decade in boys, and 1.0 kg/decade in girls, and the weight distribution became more skewed. The BMI curve is comparable to that of other populations, except for higher percentiles. This reflects the increasing prevalence of overweight and obesity. Median age at menarche (13.0 years) has not advanced any more over the past 50 years. Median ages at menarche and B2 in girls and G2 or T4 in boys are comparable to other West European estimates, but approximately 10% enter G2/T4 before 9 years of age.\n\nCONCLUSIONS: The ongoing secular trend in height and weight makes growth charts previously used in Belgium obsolete. New representative charts for growth and pubertal development are introduced. For weight monitoring, it is advised that the now-available BMI growth charts are used.", "author" : [ { "dropping-particle" : "", "family" : "Roelants", "given" : "M", "non-dropping-particle" : "", "parse-names" : false, "suffix" : "" }, { "dropping-particle" : "", "family" : "Hauspie", "given" : "R", "non-dropping-particle" : "", "parse-names" : false, "suffix" : "" }, { "dropping-particle" : "", "family" : "Hoppenbrouwers", "given" : "K", "non-dropping-particle" : "", "parse-names" : false, "suffix" : "" } ], "container-title" : "Annals of human biology", "id" : "ITEM-1", "issue" : "6", "issued" : { "date-parts" : [ [ "0", "1" ] ] }, "page" : "680-94", "title" : "References for growth and pubertal development from birth to 21 years in Flanders, Belgium.", "type" : "article-journal", "volume" : "36" }, "uris" : [ "http://www.mendeley.com/documents/?uuid=1c401ea5-4197-4d59-8618-56bb78477688" ] } ], "mendeley" : { "formattedCitation" : "(55)", "plainTextFormattedCitation" : "(55)", "previouslyFormattedCitation" : "(55)" }, "properties" : { "noteIndex" : 0 }, "schema" : "https://github.com/citation-style-language/schema/raw/master/csl-citation.json" }</w:instrText>
      </w:r>
      <w:r>
        <w:rPr>
          <w:sz w:val="18"/>
          <w:szCs w:val="18"/>
          <w:lang w:val="en-GB"/>
        </w:rPr>
        <w:fldChar w:fldCharType="separate"/>
      </w:r>
      <w:r w:rsidR="00C7364E" w:rsidRPr="00C7364E">
        <w:rPr>
          <w:noProof/>
          <w:sz w:val="18"/>
          <w:szCs w:val="18"/>
          <w:lang w:val="en-GB"/>
        </w:rPr>
        <w:t>(55)</w:t>
      </w:r>
      <w:r>
        <w:rPr>
          <w:sz w:val="18"/>
          <w:szCs w:val="18"/>
          <w:lang w:val="en-GB"/>
        </w:rPr>
        <w:fldChar w:fldCharType="end"/>
      </w:r>
      <w:r>
        <w:rPr>
          <w:sz w:val="18"/>
          <w:szCs w:val="18"/>
          <w:lang w:val="en-GB"/>
        </w:rPr>
        <w:t>; CA: cyproterone acetate monotherapy; CA+E: cyproterone acetate and 17β-estradiol combination therapy.</w:t>
      </w:r>
    </w:p>
    <w:p w14:paraId="6545807E" w14:textId="60803BB1" w:rsidR="006C2831" w:rsidRDefault="006C2831" w:rsidP="009E1802">
      <w:pPr>
        <w:spacing w:after="0"/>
        <w:jc w:val="both"/>
        <w:rPr>
          <w:sz w:val="18"/>
          <w:szCs w:val="18"/>
          <w:lang w:val="en-GB"/>
        </w:rPr>
      </w:pPr>
    </w:p>
    <w:p w14:paraId="327EF14F" w14:textId="1ED91C30" w:rsidR="006C2831" w:rsidRDefault="006C2831" w:rsidP="009E1802">
      <w:pPr>
        <w:spacing w:after="0"/>
        <w:jc w:val="both"/>
        <w:rPr>
          <w:sz w:val="18"/>
          <w:szCs w:val="18"/>
          <w:lang w:val="en-GB"/>
        </w:rPr>
      </w:pPr>
      <w:r>
        <w:rPr>
          <w:rFonts w:ascii="Times New Roman" w:hAnsi="Times New Roman" w:cs="Times New Roman"/>
          <w:noProof/>
          <w:sz w:val="24"/>
          <w:szCs w:val="24"/>
        </w:rPr>
        <w:drawing>
          <wp:inline distT="0" distB="0" distL="0" distR="0" wp14:anchorId="76A095C3" wp14:editId="66566D5E">
            <wp:extent cx="2792354" cy="2412000"/>
            <wp:effectExtent l="0" t="0" r="8255"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2354" cy="241200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65198A38" wp14:editId="26F09288">
            <wp:extent cx="2814000" cy="2412000"/>
            <wp:effectExtent l="0" t="0" r="5715"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4000" cy="2412000"/>
                    </a:xfrm>
                    <a:prstGeom prst="rect">
                      <a:avLst/>
                    </a:prstGeom>
                    <a:noFill/>
                    <a:ln>
                      <a:noFill/>
                    </a:ln>
                  </pic:spPr>
                </pic:pic>
              </a:graphicData>
            </a:graphic>
          </wp:inline>
        </w:drawing>
      </w:r>
    </w:p>
    <w:p w14:paraId="0A1B30B0" w14:textId="685513C8" w:rsidR="006C2831" w:rsidRPr="006C2831" w:rsidRDefault="00624AB0" w:rsidP="009E1802">
      <w:pPr>
        <w:spacing w:after="0"/>
        <w:jc w:val="both"/>
        <w:rPr>
          <w:b/>
          <w:sz w:val="18"/>
          <w:szCs w:val="18"/>
          <w:lang w:val="en-GB"/>
        </w:rPr>
      </w:pPr>
      <w:r>
        <w:rPr>
          <w:b/>
          <w:sz w:val="18"/>
          <w:szCs w:val="18"/>
          <w:lang w:val="en-GB"/>
        </w:rPr>
        <w:t>Figure 5</w:t>
      </w:r>
      <w:r w:rsidR="006C2831" w:rsidRPr="006C2831">
        <w:rPr>
          <w:b/>
          <w:sz w:val="18"/>
          <w:szCs w:val="18"/>
          <w:lang w:val="en-GB"/>
        </w:rPr>
        <w:t>.</w:t>
      </w:r>
      <w:r w:rsidR="000526E6">
        <w:rPr>
          <w:b/>
          <w:sz w:val="18"/>
          <w:szCs w:val="18"/>
          <w:lang w:val="en-GB"/>
        </w:rPr>
        <w:t xml:space="preserve"> </w:t>
      </w:r>
      <w:r w:rsidR="00B823BA" w:rsidRPr="00D83250">
        <w:rPr>
          <w:sz w:val="18"/>
          <w:szCs w:val="18"/>
          <w:lang w:val="en-GB"/>
        </w:rPr>
        <w:t>Box-and-whisker pl</w:t>
      </w:r>
      <w:r w:rsidR="00B823BA">
        <w:rPr>
          <w:sz w:val="18"/>
          <w:szCs w:val="18"/>
          <w:lang w:val="en-GB"/>
        </w:rPr>
        <w:t>ots of e</w:t>
      </w:r>
      <w:r w:rsidR="000526E6">
        <w:rPr>
          <w:sz w:val="18"/>
          <w:szCs w:val="18"/>
          <w:lang w:val="en-GB"/>
        </w:rPr>
        <w:t>volution of weight and BMI. CA: 6 months</w:t>
      </w:r>
      <w:r w:rsidR="000526E6" w:rsidRPr="0088711A">
        <w:rPr>
          <w:sz w:val="18"/>
          <w:szCs w:val="18"/>
          <w:lang w:val="en-GB"/>
        </w:rPr>
        <w:t xml:space="preserve">: </w:t>
      </w:r>
      <w:r w:rsidR="000526E6">
        <w:rPr>
          <w:sz w:val="18"/>
          <w:szCs w:val="18"/>
          <w:lang w:val="en-GB"/>
        </w:rPr>
        <w:t>weight/BMI evolution after 6 months of CA</w:t>
      </w:r>
      <w:r w:rsidR="00A84072">
        <w:rPr>
          <w:sz w:val="18"/>
          <w:szCs w:val="18"/>
          <w:lang w:val="en-GB"/>
        </w:rPr>
        <w:t xml:space="preserve"> (compared with start of CA)</w:t>
      </w:r>
      <w:r w:rsidR="000526E6">
        <w:rPr>
          <w:sz w:val="18"/>
          <w:szCs w:val="18"/>
          <w:lang w:val="en-GB"/>
        </w:rPr>
        <w:t xml:space="preserve">; CA: 12 </w:t>
      </w:r>
      <w:r w:rsidR="000526E6" w:rsidRPr="009D2539">
        <w:rPr>
          <w:sz w:val="18"/>
          <w:szCs w:val="18"/>
          <w:lang w:val="en-GB"/>
        </w:rPr>
        <w:t>m</w:t>
      </w:r>
      <w:r w:rsidR="000526E6">
        <w:rPr>
          <w:sz w:val="18"/>
          <w:szCs w:val="18"/>
          <w:lang w:val="en-GB"/>
        </w:rPr>
        <w:t>onths</w:t>
      </w:r>
      <w:r w:rsidR="000526E6" w:rsidRPr="009D2539">
        <w:rPr>
          <w:sz w:val="18"/>
          <w:szCs w:val="18"/>
          <w:lang w:val="en-GB"/>
        </w:rPr>
        <w:t xml:space="preserve">: </w:t>
      </w:r>
      <w:r w:rsidR="000526E6">
        <w:rPr>
          <w:sz w:val="18"/>
          <w:szCs w:val="18"/>
          <w:lang w:val="en-GB"/>
        </w:rPr>
        <w:t>weight/BMI evolution after 12 months of CA</w:t>
      </w:r>
      <w:r w:rsidR="00A84072">
        <w:rPr>
          <w:sz w:val="18"/>
          <w:szCs w:val="18"/>
          <w:lang w:val="en-GB"/>
        </w:rPr>
        <w:t xml:space="preserve"> (compared with start of CA)</w:t>
      </w:r>
      <w:r w:rsidR="000526E6" w:rsidRPr="009D2539">
        <w:rPr>
          <w:sz w:val="18"/>
          <w:szCs w:val="18"/>
          <w:lang w:val="en-GB"/>
        </w:rPr>
        <w:t xml:space="preserve">; </w:t>
      </w:r>
      <w:r w:rsidR="000526E6">
        <w:rPr>
          <w:sz w:val="18"/>
          <w:szCs w:val="18"/>
          <w:lang w:val="en-GB"/>
        </w:rPr>
        <w:t>CA: CA+E: weight/BMI evolution after entire monotherapy with CA; CA+E: 6 months: weight/BMI evolution after 6 months of CA+E</w:t>
      </w:r>
      <w:r w:rsidR="00A84072">
        <w:rPr>
          <w:sz w:val="18"/>
          <w:szCs w:val="18"/>
          <w:lang w:val="en-GB"/>
        </w:rPr>
        <w:t xml:space="preserve"> (compared with start of CA+E)</w:t>
      </w:r>
      <w:r w:rsidR="000526E6">
        <w:rPr>
          <w:sz w:val="18"/>
          <w:szCs w:val="18"/>
          <w:lang w:val="en-GB"/>
        </w:rPr>
        <w:t>; CA+E: 12 months: weight/BMI evolution after 12 months of CA+E</w:t>
      </w:r>
      <w:r w:rsidR="00A84072">
        <w:rPr>
          <w:sz w:val="18"/>
          <w:szCs w:val="18"/>
          <w:lang w:val="en-GB"/>
        </w:rPr>
        <w:t xml:space="preserve"> (compared with start of CA+E)</w:t>
      </w:r>
      <w:r w:rsidR="000526E6">
        <w:rPr>
          <w:sz w:val="18"/>
          <w:szCs w:val="18"/>
          <w:lang w:val="en-GB"/>
        </w:rPr>
        <w:t>. CA: cyproterone acetate monotherapy; CA+E: cyproterone acetate and 17β-estradiol combination therapy. Horizontal lines represent 5kg or 2kg/m².</w:t>
      </w:r>
    </w:p>
    <w:p w14:paraId="4A6BBE35" w14:textId="77777777" w:rsidR="0088031B" w:rsidRPr="00451147" w:rsidRDefault="0088031B" w:rsidP="00C942CA">
      <w:pPr>
        <w:pStyle w:val="Kop3"/>
        <w:rPr>
          <w:lang w:val="en-GB"/>
        </w:rPr>
      </w:pPr>
      <w:bookmarkStart w:id="47" w:name="_Toc451961503"/>
      <w:r w:rsidRPr="00451147">
        <w:rPr>
          <w:lang w:val="en-GB"/>
        </w:rPr>
        <w:t>Biochemical analyses</w:t>
      </w:r>
      <w:bookmarkEnd w:id="47"/>
    </w:p>
    <w:p w14:paraId="226CDECF" w14:textId="77777777" w:rsidR="0088031B" w:rsidRPr="00451147" w:rsidRDefault="0088031B" w:rsidP="00C942CA">
      <w:pPr>
        <w:pStyle w:val="Kop4"/>
        <w:rPr>
          <w:lang w:val="en-GB"/>
        </w:rPr>
      </w:pPr>
      <w:r w:rsidRPr="00451147">
        <w:rPr>
          <w:lang w:val="en-GB"/>
        </w:rPr>
        <w:t xml:space="preserve">Safety and metabolic parameters </w:t>
      </w:r>
    </w:p>
    <w:p w14:paraId="461E73D6" w14:textId="49C15E85" w:rsidR="000B277A" w:rsidRDefault="00913C55" w:rsidP="000B277A">
      <w:pPr>
        <w:spacing w:after="0"/>
        <w:jc w:val="both"/>
        <w:rPr>
          <w:bCs/>
          <w:lang w:val="en-GB"/>
        </w:rPr>
      </w:pPr>
      <w:r>
        <w:rPr>
          <w:bCs/>
          <w:lang w:val="en-GB"/>
        </w:rPr>
        <w:t xml:space="preserve">Mean </w:t>
      </w:r>
      <w:r w:rsidRPr="003C6C67">
        <w:rPr>
          <w:bCs/>
          <w:i/>
          <w:lang w:val="en-GB"/>
        </w:rPr>
        <w:t>Hb</w:t>
      </w:r>
      <w:r>
        <w:rPr>
          <w:bCs/>
          <w:lang w:val="en-GB"/>
        </w:rPr>
        <w:t xml:space="preserve"> and </w:t>
      </w:r>
      <w:r w:rsidRPr="003C6C67">
        <w:rPr>
          <w:bCs/>
          <w:i/>
          <w:lang w:val="en-GB"/>
        </w:rPr>
        <w:t>Hct</w:t>
      </w:r>
      <w:r>
        <w:rPr>
          <w:bCs/>
          <w:lang w:val="en-GB"/>
        </w:rPr>
        <w:t xml:space="preserve"> levels decreased progressively and significantly during CA and remained </w:t>
      </w:r>
      <w:r w:rsidR="00CF0F42">
        <w:rPr>
          <w:bCs/>
          <w:lang w:val="en-GB"/>
        </w:rPr>
        <w:t>constant</w:t>
      </w:r>
      <w:r>
        <w:rPr>
          <w:bCs/>
          <w:lang w:val="en-GB"/>
        </w:rPr>
        <w:t xml:space="preserve"> during C</w:t>
      </w:r>
      <w:r w:rsidR="007F650B">
        <w:rPr>
          <w:bCs/>
          <w:lang w:val="en-GB"/>
        </w:rPr>
        <w:t>A</w:t>
      </w:r>
      <w:r>
        <w:rPr>
          <w:bCs/>
          <w:lang w:val="en-GB"/>
        </w:rPr>
        <w:t>+E</w:t>
      </w:r>
      <w:r w:rsidR="00572C04">
        <w:rPr>
          <w:bCs/>
          <w:lang w:val="en-GB"/>
        </w:rPr>
        <w:t xml:space="preserve"> </w:t>
      </w:r>
      <w:r w:rsidR="00592D60">
        <w:rPr>
          <w:bCs/>
          <w:lang w:val="en-GB"/>
        </w:rPr>
        <w:t xml:space="preserve">(Fig. </w:t>
      </w:r>
      <w:r w:rsidR="00624AB0">
        <w:rPr>
          <w:bCs/>
          <w:lang w:val="en-GB"/>
        </w:rPr>
        <w:t>6</w:t>
      </w:r>
      <w:r w:rsidR="00336BBE">
        <w:rPr>
          <w:bCs/>
          <w:lang w:val="en-GB"/>
        </w:rPr>
        <w:t>a</w:t>
      </w:r>
      <w:r w:rsidR="00592D60">
        <w:rPr>
          <w:bCs/>
          <w:lang w:val="en-GB"/>
        </w:rPr>
        <w:t>,</w:t>
      </w:r>
      <w:r w:rsidR="009D086E">
        <w:rPr>
          <w:bCs/>
          <w:lang w:val="en-GB"/>
        </w:rPr>
        <w:t xml:space="preserve"> </w:t>
      </w:r>
      <w:r w:rsidR="00336BBE">
        <w:rPr>
          <w:bCs/>
          <w:lang w:val="en-GB"/>
        </w:rPr>
        <w:t>b</w:t>
      </w:r>
      <w:r w:rsidR="00572C04" w:rsidRPr="00CE715D">
        <w:rPr>
          <w:bCs/>
          <w:lang w:val="en-GB"/>
        </w:rPr>
        <w:t>)</w:t>
      </w:r>
      <w:r>
        <w:rPr>
          <w:bCs/>
          <w:lang w:val="en-GB"/>
        </w:rPr>
        <w:t xml:space="preserve">. </w:t>
      </w:r>
      <w:r w:rsidR="00133FFD" w:rsidRPr="003C6C67">
        <w:rPr>
          <w:bCs/>
          <w:i/>
          <w:lang w:val="en-GB"/>
        </w:rPr>
        <w:t>Creatinine</w:t>
      </w:r>
      <w:r w:rsidR="00133FFD">
        <w:rPr>
          <w:bCs/>
          <w:lang w:val="en-GB"/>
        </w:rPr>
        <w:t xml:space="preserve"> levels showed a non-significant decreasing trend during CA, </w:t>
      </w:r>
      <w:r w:rsidR="00B10985">
        <w:rPr>
          <w:bCs/>
          <w:lang w:val="en-GB"/>
        </w:rPr>
        <w:t xml:space="preserve">and stabilised </w:t>
      </w:r>
      <w:r w:rsidR="00133FFD">
        <w:rPr>
          <w:bCs/>
          <w:lang w:val="en-GB"/>
        </w:rPr>
        <w:t>during C</w:t>
      </w:r>
      <w:r w:rsidR="007F650B">
        <w:rPr>
          <w:bCs/>
          <w:lang w:val="en-GB"/>
        </w:rPr>
        <w:t>A</w:t>
      </w:r>
      <w:r w:rsidR="00133FFD">
        <w:rPr>
          <w:bCs/>
          <w:lang w:val="en-GB"/>
        </w:rPr>
        <w:t>+E</w:t>
      </w:r>
      <w:r w:rsidR="00C25FE0">
        <w:rPr>
          <w:bCs/>
          <w:lang w:val="en-GB"/>
        </w:rPr>
        <w:t xml:space="preserve"> (Fig. </w:t>
      </w:r>
      <w:r w:rsidR="00624AB0">
        <w:rPr>
          <w:bCs/>
          <w:lang w:val="en-GB"/>
        </w:rPr>
        <w:t>6</w:t>
      </w:r>
      <w:r w:rsidR="00DF3B9F">
        <w:rPr>
          <w:bCs/>
          <w:lang w:val="en-GB"/>
        </w:rPr>
        <w:t>c</w:t>
      </w:r>
      <w:r w:rsidR="00C25FE0">
        <w:rPr>
          <w:bCs/>
          <w:lang w:val="en-GB"/>
        </w:rPr>
        <w:t>)</w:t>
      </w:r>
      <w:r w:rsidR="00133FFD">
        <w:rPr>
          <w:bCs/>
          <w:lang w:val="en-GB"/>
        </w:rPr>
        <w:t xml:space="preserve">. </w:t>
      </w:r>
      <w:r w:rsidR="000B277A">
        <w:rPr>
          <w:bCs/>
          <w:lang w:val="en-GB"/>
        </w:rPr>
        <w:t>There were n</w:t>
      </w:r>
      <w:r w:rsidR="00133FFD">
        <w:rPr>
          <w:bCs/>
          <w:lang w:val="en-GB"/>
        </w:rPr>
        <w:t xml:space="preserve">o significant changes </w:t>
      </w:r>
      <w:r w:rsidR="00347D88">
        <w:rPr>
          <w:bCs/>
          <w:lang w:val="en-GB"/>
        </w:rPr>
        <w:t xml:space="preserve">in </w:t>
      </w:r>
      <w:r w:rsidR="00347D88" w:rsidRPr="003C6C67">
        <w:rPr>
          <w:bCs/>
          <w:i/>
          <w:lang w:val="en-GB"/>
        </w:rPr>
        <w:t>AST</w:t>
      </w:r>
      <w:r w:rsidR="00347D88">
        <w:rPr>
          <w:bCs/>
          <w:lang w:val="en-GB"/>
        </w:rPr>
        <w:t xml:space="preserve"> and </w:t>
      </w:r>
      <w:r w:rsidR="00347D88" w:rsidRPr="003C6C67">
        <w:rPr>
          <w:bCs/>
          <w:i/>
          <w:lang w:val="en-GB"/>
        </w:rPr>
        <w:t>ALT</w:t>
      </w:r>
      <w:r w:rsidR="00347D88">
        <w:rPr>
          <w:bCs/>
          <w:lang w:val="en-GB"/>
        </w:rPr>
        <w:t xml:space="preserve"> levels. Transient elevations </w:t>
      </w:r>
      <w:r w:rsidR="005409FF">
        <w:rPr>
          <w:bCs/>
          <w:lang w:val="en-GB"/>
        </w:rPr>
        <w:t>of</w:t>
      </w:r>
      <w:r w:rsidR="00347D88">
        <w:rPr>
          <w:bCs/>
          <w:lang w:val="en-GB"/>
        </w:rPr>
        <w:t xml:space="preserve"> liver enzymes</w:t>
      </w:r>
      <w:r w:rsidR="005409FF">
        <w:rPr>
          <w:bCs/>
          <w:lang w:val="en-GB"/>
        </w:rPr>
        <w:t xml:space="preserve"> were seen in four adolescent</w:t>
      </w:r>
      <w:r w:rsidR="00940E21">
        <w:rPr>
          <w:bCs/>
          <w:lang w:val="en-GB"/>
        </w:rPr>
        <w:t>s</w:t>
      </w:r>
      <w:r w:rsidR="00CC4F6E">
        <w:rPr>
          <w:bCs/>
          <w:lang w:val="en-GB"/>
        </w:rPr>
        <w:t xml:space="preserve">. </w:t>
      </w:r>
      <w:r w:rsidR="0088031B" w:rsidRPr="00CE715D">
        <w:rPr>
          <w:bCs/>
          <w:lang w:val="en-GB"/>
        </w:rPr>
        <w:t xml:space="preserve">None of the patients reached the threshold of three times the upper reference limit which we considered the </w:t>
      </w:r>
      <w:r w:rsidR="00F93A80" w:rsidRPr="00CE715D">
        <w:rPr>
          <w:bCs/>
          <w:lang w:val="en-GB"/>
        </w:rPr>
        <w:t>cut-off</w:t>
      </w:r>
      <w:r w:rsidR="0088031B" w:rsidRPr="00CE715D">
        <w:rPr>
          <w:bCs/>
          <w:lang w:val="en-GB"/>
        </w:rPr>
        <w:t xml:space="preserve"> to stop treatment (Fig.</w:t>
      </w:r>
      <w:r w:rsidR="00624AB0">
        <w:rPr>
          <w:bCs/>
          <w:lang w:val="en-GB"/>
        </w:rPr>
        <w:t xml:space="preserve"> 6</w:t>
      </w:r>
      <w:r w:rsidR="00940E21">
        <w:rPr>
          <w:bCs/>
          <w:lang w:val="en-GB"/>
        </w:rPr>
        <w:t>e,</w:t>
      </w:r>
      <w:r w:rsidR="009D086E">
        <w:rPr>
          <w:bCs/>
          <w:lang w:val="en-GB"/>
        </w:rPr>
        <w:t xml:space="preserve"> </w:t>
      </w:r>
      <w:r w:rsidR="00940E21">
        <w:rPr>
          <w:bCs/>
          <w:lang w:val="en-GB"/>
        </w:rPr>
        <w:t>f</w:t>
      </w:r>
      <w:r w:rsidR="0088031B" w:rsidRPr="00CE715D">
        <w:rPr>
          <w:bCs/>
          <w:lang w:val="en-GB"/>
        </w:rPr>
        <w:t xml:space="preserve">). </w:t>
      </w:r>
    </w:p>
    <w:p w14:paraId="45AC5FB9" w14:textId="1E047381" w:rsidR="0088031B" w:rsidRPr="00CE715D" w:rsidRDefault="0088031B" w:rsidP="000B277A">
      <w:pPr>
        <w:spacing w:after="0"/>
        <w:jc w:val="both"/>
        <w:rPr>
          <w:bCs/>
          <w:lang w:val="en-GB"/>
        </w:rPr>
      </w:pPr>
      <w:r w:rsidRPr="00CE715D">
        <w:rPr>
          <w:bCs/>
          <w:lang w:val="en-GB"/>
        </w:rPr>
        <w:lastRenderedPageBreak/>
        <w:t xml:space="preserve">Total </w:t>
      </w:r>
      <w:r w:rsidR="00C25FE0" w:rsidRPr="003C6C67">
        <w:rPr>
          <w:bCs/>
          <w:i/>
          <w:lang w:val="en-GB"/>
        </w:rPr>
        <w:t>cholesterol</w:t>
      </w:r>
      <w:r w:rsidR="00C25FE0">
        <w:rPr>
          <w:bCs/>
          <w:lang w:val="en-GB"/>
        </w:rPr>
        <w:t>,</w:t>
      </w:r>
      <w:r w:rsidRPr="00CE715D">
        <w:rPr>
          <w:bCs/>
          <w:lang w:val="en-GB"/>
        </w:rPr>
        <w:t xml:space="preserve"> </w:t>
      </w:r>
      <w:r w:rsidRPr="001D6127">
        <w:rPr>
          <w:bCs/>
          <w:i/>
          <w:lang w:val="en-GB"/>
        </w:rPr>
        <w:t>triglyceride</w:t>
      </w:r>
      <w:r w:rsidRPr="00CE715D">
        <w:rPr>
          <w:bCs/>
          <w:lang w:val="en-GB"/>
        </w:rPr>
        <w:t xml:space="preserve"> </w:t>
      </w:r>
      <w:r w:rsidR="00C25FE0">
        <w:rPr>
          <w:bCs/>
          <w:lang w:val="en-GB"/>
        </w:rPr>
        <w:t xml:space="preserve">and </w:t>
      </w:r>
      <w:r w:rsidRPr="00CE715D">
        <w:rPr>
          <w:bCs/>
          <w:lang w:val="en-GB"/>
        </w:rPr>
        <w:t xml:space="preserve">HDL decreased </w:t>
      </w:r>
      <w:r w:rsidR="00C25FE0">
        <w:rPr>
          <w:bCs/>
          <w:lang w:val="en-GB"/>
        </w:rPr>
        <w:t xml:space="preserve">during CA, but increased again after </w:t>
      </w:r>
      <w:r w:rsidR="00CC4F6E">
        <w:rPr>
          <w:bCs/>
          <w:lang w:val="en-GB"/>
        </w:rPr>
        <w:t xml:space="preserve">addition of </w:t>
      </w:r>
      <w:r w:rsidR="00C25FE0">
        <w:rPr>
          <w:bCs/>
          <w:lang w:val="en-GB"/>
        </w:rPr>
        <w:t>E. LDL remained fairly stable over the course of treatment</w:t>
      </w:r>
      <w:r w:rsidR="004D40D8">
        <w:rPr>
          <w:bCs/>
          <w:lang w:val="en-GB"/>
        </w:rPr>
        <w:t xml:space="preserve"> (Fig. </w:t>
      </w:r>
      <w:r w:rsidR="00624AB0">
        <w:rPr>
          <w:bCs/>
          <w:lang w:val="en-GB"/>
        </w:rPr>
        <w:t>6</w:t>
      </w:r>
      <w:r w:rsidR="00940E21">
        <w:rPr>
          <w:bCs/>
          <w:lang w:val="en-GB"/>
        </w:rPr>
        <w:t>d</w:t>
      </w:r>
      <w:r w:rsidR="004D40D8">
        <w:rPr>
          <w:bCs/>
          <w:lang w:val="en-GB"/>
        </w:rPr>
        <w:t>)</w:t>
      </w:r>
      <w:r w:rsidR="00C25FE0">
        <w:rPr>
          <w:bCs/>
          <w:lang w:val="en-GB"/>
        </w:rPr>
        <w:t>.</w:t>
      </w:r>
      <w:r w:rsidR="004D40D8">
        <w:rPr>
          <w:bCs/>
          <w:lang w:val="en-GB"/>
        </w:rPr>
        <w:t xml:space="preserve"> </w:t>
      </w:r>
      <w:r w:rsidRPr="00CE715D">
        <w:rPr>
          <w:bCs/>
          <w:lang w:val="en-GB"/>
        </w:rPr>
        <w:t xml:space="preserve">No significant changes </w:t>
      </w:r>
      <w:r w:rsidR="00F93A80">
        <w:rPr>
          <w:bCs/>
          <w:lang w:val="en-GB"/>
        </w:rPr>
        <w:t xml:space="preserve">were noticed in parameters assessing </w:t>
      </w:r>
      <w:r w:rsidR="00F93A80" w:rsidRPr="003C6C67">
        <w:rPr>
          <w:bCs/>
          <w:i/>
          <w:lang w:val="en-GB"/>
        </w:rPr>
        <w:t>insulin sensitivity</w:t>
      </w:r>
      <w:r w:rsidR="00F93A80">
        <w:rPr>
          <w:bCs/>
          <w:lang w:val="en-GB"/>
        </w:rPr>
        <w:t xml:space="preserve">: </w:t>
      </w:r>
      <w:r w:rsidRPr="00CE715D">
        <w:rPr>
          <w:bCs/>
          <w:lang w:val="en-GB"/>
        </w:rPr>
        <w:t>HbA1c, glucose levels, insulin levels, or homeostasis model assessment (HOMA) in</w:t>
      </w:r>
      <w:r w:rsidR="004D40D8">
        <w:rPr>
          <w:bCs/>
          <w:lang w:val="en-GB"/>
        </w:rPr>
        <w:t xml:space="preserve">dex </w:t>
      </w:r>
      <w:r w:rsidR="00F93A80">
        <w:rPr>
          <w:bCs/>
          <w:lang w:val="en-GB"/>
        </w:rPr>
        <w:t>did not change</w:t>
      </w:r>
      <w:r w:rsidR="004D40D8">
        <w:rPr>
          <w:bCs/>
          <w:lang w:val="en-GB"/>
        </w:rPr>
        <w:t xml:space="preserve"> during either CA or C</w:t>
      </w:r>
      <w:r w:rsidR="007F650B">
        <w:rPr>
          <w:bCs/>
          <w:lang w:val="en-GB"/>
        </w:rPr>
        <w:t>A</w:t>
      </w:r>
      <w:r w:rsidRPr="00CE715D">
        <w:rPr>
          <w:bCs/>
          <w:lang w:val="en-GB"/>
        </w:rPr>
        <w:t>+</w:t>
      </w:r>
      <w:r w:rsidR="004D40D8">
        <w:rPr>
          <w:bCs/>
          <w:lang w:val="en-GB"/>
        </w:rPr>
        <w:t>E</w:t>
      </w:r>
      <w:r w:rsidRPr="00CE715D">
        <w:rPr>
          <w:bCs/>
          <w:lang w:val="en-GB"/>
        </w:rPr>
        <w:t xml:space="preserve"> treatment</w:t>
      </w:r>
      <w:r w:rsidR="008C3DC3">
        <w:rPr>
          <w:bCs/>
          <w:lang w:val="en-GB"/>
        </w:rPr>
        <w:t xml:space="preserve"> (</w:t>
      </w:r>
      <w:r w:rsidR="005347D1">
        <w:rPr>
          <w:bCs/>
          <w:lang w:val="en-GB"/>
        </w:rPr>
        <w:t>data not shown</w:t>
      </w:r>
      <w:r w:rsidR="008C3DC3" w:rsidRPr="00940E21">
        <w:rPr>
          <w:bCs/>
          <w:lang w:val="en-GB"/>
        </w:rPr>
        <w:t>)</w:t>
      </w:r>
      <w:r w:rsidRPr="00940E21">
        <w:rPr>
          <w:bCs/>
          <w:lang w:val="en-GB"/>
        </w:rPr>
        <w:t>.</w:t>
      </w:r>
    </w:p>
    <w:p w14:paraId="00E122B7" w14:textId="77777777" w:rsidR="0088031B" w:rsidRDefault="0088031B" w:rsidP="0088031B">
      <w:pPr>
        <w:spacing w:after="0"/>
        <w:rPr>
          <w:bCs/>
          <w:i/>
          <w:lang w:val="en-GB"/>
        </w:rPr>
      </w:pPr>
    </w:p>
    <w:p w14:paraId="57FD662D" w14:textId="77777777" w:rsidR="0088031B" w:rsidRPr="00451147" w:rsidRDefault="0088031B" w:rsidP="00C942CA">
      <w:pPr>
        <w:pStyle w:val="Kop4"/>
        <w:rPr>
          <w:lang w:val="en-GB"/>
        </w:rPr>
      </w:pPr>
      <w:r w:rsidRPr="00451147">
        <w:rPr>
          <w:lang w:val="en-GB"/>
        </w:rPr>
        <w:t>Hormone levels</w:t>
      </w:r>
    </w:p>
    <w:p w14:paraId="2F459FD2" w14:textId="62CB7AF1" w:rsidR="007F26CC" w:rsidRDefault="00766F55" w:rsidP="000B277A">
      <w:pPr>
        <w:spacing w:after="0"/>
        <w:jc w:val="both"/>
        <w:rPr>
          <w:bCs/>
          <w:lang w:val="en-GB"/>
        </w:rPr>
      </w:pPr>
      <w:r w:rsidRPr="00D830EB">
        <w:rPr>
          <w:bCs/>
          <w:i/>
          <w:lang w:val="en-GB"/>
        </w:rPr>
        <w:t>fT4</w:t>
      </w:r>
      <w:r>
        <w:rPr>
          <w:bCs/>
          <w:lang w:val="en-GB"/>
        </w:rPr>
        <w:t xml:space="preserve"> levels slightly </w:t>
      </w:r>
      <w:r w:rsidR="00F93A80">
        <w:rPr>
          <w:bCs/>
          <w:lang w:val="en-GB"/>
        </w:rPr>
        <w:t xml:space="preserve">increased </w:t>
      </w:r>
      <w:r w:rsidR="00940E21">
        <w:rPr>
          <w:bCs/>
          <w:lang w:val="en-GB"/>
        </w:rPr>
        <w:t>during CA, with stable</w:t>
      </w:r>
      <w:r w:rsidR="00D901B3">
        <w:rPr>
          <w:bCs/>
          <w:lang w:val="en-GB"/>
        </w:rPr>
        <w:t xml:space="preserve"> TSH </w:t>
      </w:r>
      <w:r w:rsidR="00940E21">
        <w:rPr>
          <w:bCs/>
          <w:lang w:val="en-GB"/>
        </w:rPr>
        <w:t>levels</w:t>
      </w:r>
      <w:r w:rsidR="00D901B3">
        <w:rPr>
          <w:bCs/>
          <w:lang w:val="en-GB"/>
        </w:rPr>
        <w:t xml:space="preserve">. </w:t>
      </w:r>
      <w:r w:rsidR="00F93A80">
        <w:rPr>
          <w:bCs/>
          <w:lang w:val="en-GB"/>
        </w:rPr>
        <w:t>In contrast, a</w:t>
      </w:r>
      <w:r w:rsidR="00940E21">
        <w:rPr>
          <w:bCs/>
          <w:lang w:val="en-GB"/>
        </w:rPr>
        <w:t>fter addition of E</w:t>
      </w:r>
      <w:r w:rsidR="00D901B3">
        <w:rPr>
          <w:bCs/>
          <w:lang w:val="en-GB"/>
        </w:rPr>
        <w:t>, TSH levels significantly increased</w:t>
      </w:r>
      <w:r w:rsidR="00940E21">
        <w:rPr>
          <w:bCs/>
          <w:lang w:val="en-GB"/>
        </w:rPr>
        <w:t xml:space="preserve"> with stable fT4 levels</w:t>
      </w:r>
      <w:r w:rsidR="00D901B3">
        <w:rPr>
          <w:bCs/>
          <w:lang w:val="en-GB"/>
        </w:rPr>
        <w:t xml:space="preserve">. These changes were not </w:t>
      </w:r>
      <w:r>
        <w:rPr>
          <w:bCs/>
          <w:lang w:val="en-GB"/>
        </w:rPr>
        <w:t xml:space="preserve">considered </w:t>
      </w:r>
      <w:r w:rsidR="00D901B3">
        <w:rPr>
          <w:bCs/>
          <w:lang w:val="en-GB"/>
        </w:rPr>
        <w:t>clinically relevant</w:t>
      </w:r>
      <w:r w:rsidR="00187252">
        <w:rPr>
          <w:bCs/>
          <w:lang w:val="en-GB"/>
        </w:rPr>
        <w:t xml:space="preserve"> (Table </w:t>
      </w:r>
      <w:r w:rsidR="00A44497">
        <w:rPr>
          <w:bCs/>
          <w:lang w:val="en-GB"/>
        </w:rPr>
        <w:t>9</w:t>
      </w:r>
      <w:r w:rsidR="00187252">
        <w:rPr>
          <w:bCs/>
          <w:lang w:val="en-GB"/>
        </w:rPr>
        <w:t>)</w:t>
      </w:r>
      <w:r w:rsidR="00D901B3">
        <w:rPr>
          <w:bCs/>
          <w:lang w:val="en-GB"/>
        </w:rPr>
        <w:t>.</w:t>
      </w:r>
      <w:r w:rsidR="00187252">
        <w:rPr>
          <w:bCs/>
          <w:lang w:val="en-GB"/>
        </w:rPr>
        <w:t xml:space="preserve"> </w:t>
      </w:r>
      <w:r w:rsidR="007F26CC">
        <w:rPr>
          <w:bCs/>
          <w:lang w:val="en-GB"/>
        </w:rPr>
        <w:t xml:space="preserve">Z-scores of IGF-1 remained </w:t>
      </w:r>
      <w:r w:rsidR="00CF0F42">
        <w:rPr>
          <w:bCs/>
          <w:lang w:val="en-GB"/>
        </w:rPr>
        <w:t>constant</w:t>
      </w:r>
      <w:r w:rsidR="007F26CC">
        <w:rPr>
          <w:bCs/>
          <w:lang w:val="en-GB"/>
        </w:rPr>
        <w:t xml:space="preserve"> over the entire course of treatment (data not shown).</w:t>
      </w:r>
    </w:p>
    <w:p w14:paraId="1D110792" w14:textId="158ADF63" w:rsidR="00D901B3" w:rsidRDefault="00187252" w:rsidP="000B277A">
      <w:pPr>
        <w:spacing w:after="0"/>
        <w:jc w:val="both"/>
        <w:rPr>
          <w:bCs/>
          <w:lang w:val="en-GB"/>
        </w:rPr>
      </w:pPr>
      <w:r w:rsidRPr="00D830EB">
        <w:rPr>
          <w:bCs/>
          <w:i/>
          <w:lang w:val="en-GB"/>
        </w:rPr>
        <w:t>G</w:t>
      </w:r>
      <w:r w:rsidR="005409FF" w:rsidRPr="00D830EB">
        <w:rPr>
          <w:bCs/>
          <w:i/>
          <w:lang w:val="en-GB"/>
        </w:rPr>
        <w:t>onadotropin</w:t>
      </w:r>
      <w:r w:rsidR="005C6E80">
        <w:rPr>
          <w:bCs/>
          <w:lang w:val="en-GB"/>
        </w:rPr>
        <w:t xml:space="preserve"> levels non-significantly increased during CA and decreased during C</w:t>
      </w:r>
      <w:r w:rsidR="007F650B">
        <w:rPr>
          <w:bCs/>
          <w:lang w:val="en-GB"/>
        </w:rPr>
        <w:t>A</w:t>
      </w:r>
      <w:r w:rsidR="005C6E80">
        <w:rPr>
          <w:bCs/>
          <w:lang w:val="en-GB"/>
        </w:rPr>
        <w:t>+E</w:t>
      </w:r>
      <w:r w:rsidR="00940E21">
        <w:rPr>
          <w:bCs/>
          <w:lang w:val="en-GB"/>
        </w:rPr>
        <w:t xml:space="preserve"> (Fig. </w:t>
      </w:r>
      <w:r w:rsidR="00624AB0">
        <w:rPr>
          <w:bCs/>
          <w:lang w:val="en-GB"/>
        </w:rPr>
        <w:t>6</w:t>
      </w:r>
      <w:r w:rsidR="00940E21">
        <w:rPr>
          <w:bCs/>
          <w:lang w:val="en-GB"/>
        </w:rPr>
        <w:t>g</w:t>
      </w:r>
      <w:r>
        <w:rPr>
          <w:bCs/>
          <w:lang w:val="en-GB"/>
        </w:rPr>
        <w:t>)</w:t>
      </w:r>
      <w:r w:rsidR="005C6E80">
        <w:rPr>
          <w:bCs/>
          <w:lang w:val="en-GB"/>
        </w:rPr>
        <w:t xml:space="preserve">. </w:t>
      </w:r>
      <w:r w:rsidR="005C6E80" w:rsidRPr="00D830EB">
        <w:rPr>
          <w:bCs/>
          <w:i/>
          <w:lang w:val="en-GB"/>
        </w:rPr>
        <w:t>E</w:t>
      </w:r>
      <w:r w:rsidR="00060401">
        <w:rPr>
          <w:bCs/>
          <w:i/>
          <w:lang w:val="en-GB"/>
        </w:rPr>
        <w:t>2</w:t>
      </w:r>
      <w:r w:rsidR="005C6E80">
        <w:rPr>
          <w:bCs/>
          <w:lang w:val="en-GB"/>
        </w:rPr>
        <w:t xml:space="preserve"> levels </w:t>
      </w:r>
      <w:r w:rsidR="00D830EB">
        <w:rPr>
          <w:bCs/>
          <w:lang w:val="en-GB"/>
        </w:rPr>
        <w:t xml:space="preserve">were </w:t>
      </w:r>
      <w:r w:rsidR="00B94B02">
        <w:rPr>
          <w:bCs/>
          <w:lang w:val="en-GB"/>
        </w:rPr>
        <w:t xml:space="preserve">mostly below the detection limit </w:t>
      </w:r>
      <w:r w:rsidR="00F93A80" w:rsidRPr="002C7A46">
        <w:rPr>
          <w:bCs/>
          <w:lang w:val="en-GB"/>
        </w:rPr>
        <w:t xml:space="preserve">of </w:t>
      </w:r>
      <w:r w:rsidR="002C7A46" w:rsidRPr="002C7A46">
        <w:rPr>
          <w:bCs/>
          <w:lang w:val="en-GB"/>
        </w:rPr>
        <w:t>25ng/L</w:t>
      </w:r>
      <w:r w:rsidR="00880E86" w:rsidRPr="002C7A46">
        <w:rPr>
          <w:bCs/>
          <w:lang w:val="en-GB"/>
        </w:rPr>
        <w:t>,</w:t>
      </w:r>
      <w:r w:rsidR="00880E86">
        <w:rPr>
          <w:bCs/>
          <w:lang w:val="en-GB"/>
        </w:rPr>
        <w:t xml:space="preserve"> </w:t>
      </w:r>
      <w:r w:rsidR="00B94B02">
        <w:rPr>
          <w:bCs/>
          <w:lang w:val="en-GB"/>
        </w:rPr>
        <w:t xml:space="preserve">at baseline and during CA, but also after 12months of CA+E. Therefore, </w:t>
      </w:r>
      <w:r w:rsidR="00880E86">
        <w:rPr>
          <w:bCs/>
          <w:lang w:val="en-GB"/>
        </w:rPr>
        <w:t xml:space="preserve">we were unable to quantify </w:t>
      </w:r>
      <w:r w:rsidR="00B94B02">
        <w:rPr>
          <w:bCs/>
          <w:lang w:val="en-GB"/>
        </w:rPr>
        <w:t>the “real” changes in</w:t>
      </w:r>
      <w:r w:rsidR="00D44DD7">
        <w:rPr>
          <w:bCs/>
          <w:lang w:val="en-GB"/>
        </w:rPr>
        <w:t xml:space="preserve"> </w:t>
      </w:r>
      <w:r w:rsidR="00060401">
        <w:rPr>
          <w:bCs/>
          <w:lang w:val="en-GB"/>
        </w:rPr>
        <w:t>E2</w:t>
      </w:r>
      <w:r w:rsidR="00D44DD7">
        <w:rPr>
          <w:bCs/>
          <w:lang w:val="en-GB"/>
        </w:rPr>
        <w:t xml:space="preserve"> levels</w:t>
      </w:r>
      <w:r w:rsidR="002C7A46">
        <w:rPr>
          <w:bCs/>
          <w:lang w:val="en-GB"/>
        </w:rPr>
        <w:t xml:space="preserve"> </w:t>
      </w:r>
      <w:r w:rsidR="00880E86">
        <w:rPr>
          <w:bCs/>
          <w:lang w:val="en-GB"/>
        </w:rPr>
        <w:t xml:space="preserve">(Fig. </w:t>
      </w:r>
      <w:r w:rsidR="00624AB0">
        <w:rPr>
          <w:bCs/>
          <w:lang w:val="en-GB"/>
        </w:rPr>
        <w:t>6</w:t>
      </w:r>
      <w:r w:rsidR="00940E21">
        <w:rPr>
          <w:bCs/>
          <w:lang w:val="en-GB"/>
        </w:rPr>
        <w:t>i</w:t>
      </w:r>
      <w:r w:rsidR="00880E86">
        <w:rPr>
          <w:bCs/>
          <w:lang w:val="en-GB"/>
        </w:rPr>
        <w:t>).</w:t>
      </w:r>
      <w:r w:rsidR="00F53134">
        <w:rPr>
          <w:bCs/>
          <w:lang w:val="en-GB"/>
        </w:rPr>
        <w:t xml:space="preserve"> </w:t>
      </w:r>
      <w:r w:rsidR="005C6E80" w:rsidRPr="002C7A46">
        <w:rPr>
          <w:bCs/>
          <w:i/>
          <w:lang w:val="en-GB"/>
        </w:rPr>
        <w:t xml:space="preserve">Total and free </w:t>
      </w:r>
      <w:r w:rsidR="002C7A46">
        <w:rPr>
          <w:bCs/>
          <w:i/>
          <w:lang w:val="en-GB"/>
        </w:rPr>
        <w:t xml:space="preserve">T </w:t>
      </w:r>
      <w:r w:rsidR="005C6E80">
        <w:rPr>
          <w:bCs/>
          <w:lang w:val="en-GB"/>
        </w:rPr>
        <w:t>levels significantly</w:t>
      </w:r>
      <w:r w:rsidR="00880E86">
        <w:rPr>
          <w:bCs/>
          <w:lang w:val="en-GB"/>
        </w:rPr>
        <w:t xml:space="preserve"> and progressively</w:t>
      </w:r>
      <w:r w:rsidR="005C6E80">
        <w:rPr>
          <w:bCs/>
          <w:lang w:val="en-GB"/>
        </w:rPr>
        <w:t xml:space="preserve"> decreased over the course of treatment. Levels dropped below the male reference range, but did not reach </w:t>
      </w:r>
      <w:r w:rsidR="00B94B02">
        <w:rPr>
          <w:bCs/>
          <w:lang w:val="en-GB"/>
        </w:rPr>
        <w:t xml:space="preserve">the </w:t>
      </w:r>
      <w:r w:rsidR="005C6E80">
        <w:rPr>
          <w:bCs/>
          <w:lang w:val="en-GB"/>
        </w:rPr>
        <w:t>female reference range</w:t>
      </w:r>
      <w:r w:rsidR="00880E86">
        <w:rPr>
          <w:bCs/>
          <w:lang w:val="en-GB"/>
        </w:rPr>
        <w:t xml:space="preserve"> (Fig. </w:t>
      </w:r>
      <w:r w:rsidR="00624AB0">
        <w:rPr>
          <w:bCs/>
          <w:lang w:val="en-GB"/>
        </w:rPr>
        <w:t>6</w:t>
      </w:r>
      <w:r w:rsidR="00940E21">
        <w:rPr>
          <w:bCs/>
          <w:lang w:val="en-GB"/>
        </w:rPr>
        <w:t>k, l</w:t>
      </w:r>
      <w:r w:rsidR="00880E86">
        <w:rPr>
          <w:bCs/>
          <w:lang w:val="en-GB"/>
        </w:rPr>
        <w:t>)</w:t>
      </w:r>
      <w:r w:rsidR="005C6E80">
        <w:rPr>
          <w:bCs/>
          <w:lang w:val="en-GB"/>
        </w:rPr>
        <w:t xml:space="preserve">. </w:t>
      </w:r>
      <w:r w:rsidR="00823376" w:rsidRPr="002C7A46">
        <w:rPr>
          <w:bCs/>
          <w:i/>
          <w:lang w:val="en-GB"/>
        </w:rPr>
        <w:t>Inhibin B</w:t>
      </w:r>
      <w:r w:rsidR="00823376">
        <w:rPr>
          <w:bCs/>
          <w:lang w:val="en-GB"/>
        </w:rPr>
        <w:t xml:space="preserve"> levels d</w:t>
      </w:r>
      <w:r w:rsidR="00880E86">
        <w:rPr>
          <w:bCs/>
          <w:lang w:val="en-GB"/>
        </w:rPr>
        <w:t xml:space="preserve">ecreased significantly under CA, but restored </w:t>
      </w:r>
      <w:r w:rsidR="00823376">
        <w:rPr>
          <w:bCs/>
          <w:lang w:val="en-GB"/>
        </w:rPr>
        <w:t>during C</w:t>
      </w:r>
      <w:r w:rsidR="007F650B">
        <w:rPr>
          <w:bCs/>
          <w:lang w:val="en-GB"/>
        </w:rPr>
        <w:t>A</w:t>
      </w:r>
      <w:r w:rsidR="00823376">
        <w:rPr>
          <w:bCs/>
          <w:lang w:val="en-GB"/>
        </w:rPr>
        <w:t>+E</w:t>
      </w:r>
      <w:r w:rsidR="00880E86">
        <w:rPr>
          <w:bCs/>
          <w:lang w:val="en-GB"/>
        </w:rPr>
        <w:t xml:space="preserve"> (Table </w:t>
      </w:r>
      <w:r w:rsidR="00A44497">
        <w:rPr>
          <w:bCs/>
          <w:lang w:val="en-GB"/>
        </w:rPr>
        <w:t>9</w:t>
      </w:r>
      <w:r w:rsidR="00880E86">
        <w:rPr>
          <w:bCs/>
          <w:lang w:val="en-GB"/>
        </w:rPr>
        <w:t>)</w:t>
      </w:r>
      <w:r w:rsidR="00823376">
        <w:rPr>
          <w:bCs/>
          <w:lang w:val="en-GB"/>
        </w:rPr>
        <w:t xml:space="preserve">. </w:t>
      </w:r>
      <w:r w:rsidR="00880E86">
        <w:rPr>
          <w:bCs/>
          <w:lang w:val="en-GB"/>
        </w:rPr>
        <w:t xml:space="preserve">Significant increments in </w:t>
      </w:r>
      <w:r w:rsidR="00880E86" w:rsidRPr="002C7A46">
        <w:rPr>
          <w:bCs/>
          <w:i/>
          <w:lang w:val="en-GB"/>
        </w:rPr>
        <w:t>PRL</w:t>
      </w:r>
      <w:r w:rsidR="00880E86">
        <w:rPr>
          <w:bCs/>
          <w:lang w:val="en-GB"/>
        </w:rPr>
        <w:t xml:space="preserve"> levels</w:t>
      </w:r>
      <w:r w:rsidR="00823376">
        <w:rPr>
          <w:bCs/>
          <w:lang w:val="en-GB"/>
        </w:rPr>
        <w:t xml:space="preserve"> </w:t>
      </w:r>
      <w:r w:rsidR="00880E86">
        <w:rPr>
          <w:bCs/>
          <w:lang w:val="en-GB"/>
        </w:rPr>
        <w:t xml:space="preserve">were noted </w:t>
      </w:r>
      <w:r w:rsidR="00823376">
        <w:rPr>
          <w:bCs/>
          <w:lang w:val="en-GB"/>
        </w:rPr>
        <w:t>during CA</w:t>
      </w:r>
      <w:r w:rsidR="00A80871">
        <w:rPr>
          <w:bCs/>
          <w:lang w:val="en-GB"/>
        </w:rPr>
        <w:t xml:space="preserve"> </w:t>
      </w:r>
      <w:r w:rsidR="00880E86">
        <w:rPr>
          <w:bCs/>
          <w:lang w:val="en-GB"/>
        </w:rPr>
        <w:t xml:space="preserve">(Fig. </w:t>
      </w:r>
      <w:r w:rsidR="00624AB0">
        <w:rPr>
          <w:bCs/>
          <w:lang w:val="en-GB"/>
        </w:rPr>
        <w:t>6</w:t>
      </w:r>
      <w:r w:rsidR="00940E21">
        <w:rPr>
          <w:bCs/>
          <w:lang w:val="en-GB"/>
        </w:rPr>
        <w:t>j</w:t>
      </w:r>
      <w:r w:rsidR="00880E86">
        <w:rPr>
          <w:bCs/>
          <w:lang w:val="en-GB"/>
        </w:rPr>
        <w:t>)</w:t>
      </w:r>
      <w:r w:rsidR="00B94B02">
        <w:rPr>
          <w:bCs/>
          <w:lang w:val="en-GB"/>
        </w:rPr>
        <w:t xml:space="preserve"> but n</w:t>
      </w:r>
      <w:r w:rsidR="00F93A80">
        <w:rPr>
          <w:bCs/>
          <w:lang w:val="en-GB"/>
        </w:rPr>
        <w:t>one of the adolescents experienced galactorr</w:t>
      </w:r>
      <w:r w:rsidR="002C7A46">
        <w:rPr>
          <w:bCs/>
          <w:lang w:val="en-GB"/>
        </w:rPr>
        <w:t>h</w:t>
      </w:r>
      <w:r w:rsidR="00F93A80">
        <w:rPr>
          <w:bCs/>
          <w:lang w:val="en-GB"/>
        </w:rPr>
        <w:t xml:space="preserve">ea. </w:t>
      </w:r>
      <w:r w:rsidR="002B524C" w:rsidRPr="00315388">
        <w:rPr>
          <w:bCs/>
          <w:i/>
          <w:lang w:val="en-GB"/>
        </w:rPr>
        <w:t>SHBG</w:t>
      </w:r>
      <w:r w:rsidR="002B524C">
        <w:rPr>
          <w:bCs/>
          <w:lang w:val="en-GB"/>
        </w:rPr>
        <w:t xml:space="preserve">, </w:t>
      </w:r>
      <w:r w:rsidR="00F93A80" w:rsidRPr="002C7A46">
        <w:rPr>
          <w:bCs/>
          <w:i/>
          <w:lang w:val="en-GB"/>
        </w:rPr>
        <w:t>Androstenedione</w:t>
      </w:r>
      <w:r w:rsidR="00823376" w:rsidRPr="002C7A46">
        <w:rPr>
          <w:bCs/>
          <w:i/>
          <w:lang w:val="en-GB"/>
        </w:rPr>
        <w:t xml:space="preserve"> and DHEAS</w:t>
      </w:r>
      <w:r w:rsidR="00823376">
        <w:rPr>
          <w:bCs/>
          <w:lang w:val="en-GB"/>
        </w:rPr>
        <w:t xml:space="preserve"> levels </w:t>
      </w:r>
      <w:r w:rsidR="0003613C">
        <w:rPr>
          <w:bCs/>
          <w:lang w:val="en-GB"/>
        </w:rPr>
        <w:t>reached a nadir under CA and partial</w:t>
      </w:r>
      <w:r w:rsidR="00315388">
        <w:rPr>
          <w:bCs/>
          <w:lang w:val="en-GB"/>
        </w:rPr>
        <w:t>ly restored after addition of E</w:t>
      </w:r>
      <w:r w:rsidR="0003613C">
        <w:rPr>
          <w:bCs/>
          <w:lang w:val="en-GB"/>
        </w:rPr>
        <w:t xml:space="preserve"> </w:t>
      </w:r>
      <w:r w:rsidR="00F53134">
        <w:rPr>
          <w:bCs/>
          <w:lang w:val="en-GB"/>
        </w:rPr>
        <w:t xml:space="preserve">(Table </w:t>
      </w:r>
      <w:r w:rsidR="00A44497">
        <w:rPr>
          <w:bCs/>
          <w:lang w:val="en-GB"/>
        </w:rPr>
        <w:t>9</w:t>
      </w:r>
      <w:r w:rsidR="00A80871">
        <w:rPr>
          <w:bCs/>
          <w:lang w:val="en-GB"/>
        </w:rPr>
        <w:t>)</w:t>
      </w:r>
      <w:r w:rsidR="00823376">
        <w:rPr>
          <w:bCs/>
          <w:lang w:val="en-GB"/>
        </w:rPr>
        <w:t>.</w:t>
      </w:r>
    </w:p>
    <w:p w14:paraId="7F822614" w14:textId="77777777" w:rsidR="002B524C" w:rsidRDefault="00356DD8">
      <w:pPr>
        <w:rPr>
          <w:b/>
          <w:lang w:val="en-GB"/>
        </w:rPr>
      </w:pPr>
      <w:r>
        <w:rPr>
          <w:b/>
          <w:noProof/>
        </w:rPr>
        <w:lastRenderedPageBreak/>
        <w:drawing>
          <wp:inline distT="0" distB="0" distL="0" distR="0" wp14:anchorId="422392F7" wp14:editId="69C9F175">
            <wp:extent cx="4704701" cy="6120000"/>
            <wp:effectExtent l="19050" t="0" r="649" b="0"/>
            <wp:docPr id="1" name="Afbeelding 2" descr="C:\Users\Lloyd\Desktop\lloy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loyd\Desktop\lloyd2\1.png"/>
                    <pic:cNvPicPr>
                      <a:picLocks noChangeAspect="1" noChangeArrowheads="1"/>
                    </pic:cNvPicPr>
                  </pic:nvPicPr>
                  <pic:blipFill>
                    <a:blip r:embed="rId19" cstate="print"/>
                    <a:srcRect/>
                    <a:stretch>
                      <a:fillRect/>
                    </a:stretch>
                  </pic:blipFill>
                  <pic:spPr bwMode="auto">
                    <a:xfrm>
                      <a:off x="0" y="0"/>
                      <a:ext cx="4704701" cy="6120000"/>
                    </a:xfrm>
                    <a:prstGeom prst="rect">
                      <a:avLst/>
                    </a:prstGeom>
                    <a:noFill/>
                    <a:ln w="9525">
                      <a:noFill/>
                      <a:miter lim="800000"/>
                      <a:headEnd/>
                      <a:tailEnd/>
                    </a:ln>
                  </pic:spPr>
                </pic:pic>
              </a:graphicData>
            </a:graphic>
          </wp:inline>
        </w:drawing>
      </w:r>
    </w:p>
    <w:p w14:paraId="315C1C12" w14:textId="50EE1A70" w:rsidR="00592D60" w:rsidRPr="0060363A" w:rsidRDefault="00356DD8">
      <w:pPr>
        <w:rPr>
          <w:b/>
        </w:rPr>
      </w:pPr>
      <w:r>
        <w:rPr>
          <w:b/>
          <w:noProof/>
        </w:rPr>
        <w:lastRenderedPageBreak/>
        <w:drawing>
          <wp:inline distT="0" distB="0" distL="0" distR="0" wp14:anchorId="03410CA5" wp14:editId="718EC212">
            <wp:extent cx="4704701" cy="6120000"/>
            <wp:effectExtent l="19050" t="0" r="649" b="0"/>
            <wp:docPr id="4" name="Afbeelding 3" descr="C:\Users\Lloyd\Desktop\lloy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loyd\Desktop\lloyd2\2.png"/>
                    <pic:cNvPicPr>
                      <a:picLocks noChangeAspect="1" noChangeArrowheads="1"/>
                    </pic:cNvPicPr>
                  </pic:nvPicPr>
                  <pic:blipFill>
                    <a:blip r:embed="rId20" cstate="print"/>
                    <a:srcRect/>
                    <a:stretch>
                      <a:fillRect/>
                    </a:stretch>
                  </pic:blipFill>
                  <pic:spPr bwMode="auto">
                    <a:xfrm>
                      <a:off x="0" y="0"/>
                      <a:ext cx="4704701" cy="6120000"/>
                    </a:xfrm>
                    <a:prstGeom prst="rect">
                      <a:avLst/>
                    </a:prstGeom>
                    <a:noFill/>
                    <a:ln w="9525">
                      <a:noFill/>
                      <a:miter lim="800000"/>
                      <a:headEnd/>
                      <a:tailEnd/>
                    </a:ln>
                  </pic:spPr>
                </pic:pic>
              </a:graphicData>
            </a:graphic>
          </wp:inline>
        </w:drawing>
      </w:r>
    </w:p>
    <w:p w14:paraId="35ADA293" w14:textId="4A9533EB" w:rsidR="001A2D07" w:rsidRPr="00D83250" w:rsidRDefault="001A2D07" w:rsidP="00060401">
      <w:pPr>
        <w:spacing w:after="0"/>
        <w:jc w:val="both"/>
        <w:rPr>
          <w:sz w:val="18"/>
          <w:szCs w:val="18"/>
          <w:lang w:val="en-GB"/>
        </w:rPr>
      </w:pPr>
      <w:r w:rsidRPr="00D83250">
        <w:rPr>
          <w:b/>
          <w:sz w:val="18"/>
          <w:szCs w:val="18"/>
          <w:lang w:val="en-GB"/>
        </w:rPr>
        <w:t xml:space="preserve">Figure </w:t>
      </w:r>
      <w:r w:rsidR="00624AB0">
        <w:rPr>
          <w:b/>
          <w:sz w:val="18"/>
          <w:szCs w:val="18"/>
          <w:lang w:val="en-GB"/>
        </w:rPr>
        <w:t>6</w:t>
      </w:r>
      <w:r w:rsidRPr="00D83250">
        <w:rPr>
          <w:b/>
          <w:sz w:val="18"/>
          <w:szCs w:val="18"/>
          <w:lang w:val="en-GB"/>
        </w:rPr>
        <w:t xml:space="preserve">. </w:t>
      </w:r>
      <w:r w:rsidRPr="00D83250">
        <w:rPr>
          <w:sz w:val="18"/>
          <w:szCs w:val="18"/>
          <w:lang w:val="en-GB"/>
        </w:rPr>
        <w:t>Box-and-whisker pl</w:t>
      </w:r>
      <w:r>
        <w:rPr>
          <w:sz w:val="18"/>
          <w:szCs w:val="18"/>
          <w:lang w:val="en-GB"/>
        </w:rPr>
        <w:t xml:space="preserve">ots of biochemical parameters. CA0: baseline values; CA6m: after six months of CA; CA </w:t>
      </w:r>
      <w:r w:rsidRPr="00D83250">
        <w:rPr>
          <w:sz w:val="18"/>
          <w:szCs w:val="18"/>
          <w:lang w:val="en-GB"/>
        </w:rPr>
        <w:t xml:space="preserve">12m: after 12m of </w:t>
      </w:r>
      <w:r>
        <w:rPr>
          <w:sz w:val="18"/>
          <w:szCs w:val="18"/>
          <w:lang w:val="en-GB"/>
        </w:rPr>
        <w:t>CA</w:t>
      </w:r>
      <w:r w:rsidRPr="00D83250">
        <w:rPr>
          <w:sz w:val="18"/>
          <w:szCs w:val="18"/>
          <w:lang w:val="en-GB"/>
        </w:rPr>
        <w:t xml:space="preserve">; </w:t>
      </w:r>
      <w:r>
        <w:rPr>
          <w:sz w:val="18"/>
          <w:szCs w:val="18"/>
          <w:lang w:val="en-GB"/>
        </w:rPr>
        <w:t>C</w:t>
      </w:r>
      <w:r w:rsidRPr="00D83250">
        <w:rPr>
          <w:sz w:val="18"/>
          <w:szCs w:val="18"/>
          <w:lang w:val="en-GB"/>
        </w:rPr>
        <w:t>+</w:t>
      </w:r>
      <w:r>
        <w:rPr>
          <w:sz w:val="18"/>
          <w:szCs w:val="18"/>
          <w:lang w:val="en-GB"/>
        </w:rPr>
        <w:t>E</w:t>
      </w:r>
      <w:r w:rsidRPr="00D83250">
        <w:rPr>
          <w:sz w:val="18"/>
          <w:szCs w:val="18"/>
          <w:lang w:val="en-GB"/>
        </w:rPr>
        <w:t xml:space="preserve">0: before start of </w:t>
      </w:r>
      <w:r>
        <w:rPr>
          <w:sz w:val="18"/>
          <w:szCs w:val="18"/>
          <w:lang w:val="en-GB"/>
        </w:rPr>
        <w:t>C</w:t>
      </w:r>
      <w:r w:rsidRPr="00D83250">
        <w:rPr>
          <w:sz w:val="18"/>
          <w:szCs w:val="18"/>
          <w:lang w:val="en-GB"/>
        </w:rPr>
        <w:t>+</w:t>
      </w:r>
      <w:r>
        <w:rPr>
          <w:sz w:val="18"/>
          <w:szCs w:val="18"/>
          <w:lang w:val="en-GB"/>
        </w:rPr>
        <w:t>E; C</w:t>
      </w:r>
      <w:r w:rsidRPr="00D83250">
        <w:rPr>
          <w:sz w:val="18"/>
          <w:szCs w:val="18"/>
          <w:lang w:val="en-GB"/>
        </w:rPr>
        <w:t>+</w:t>
      </w:r>
      <w:r>
        <w:rPr>
          <w:sz w:val="18"/>
          <w:szCs w:val="18"/>
          <w:lang w:val="en-GB"/>
        </w:rPr>
        <w:t>E 6m: after 6 months of C</w:t>
      </w:r>
      <w:r w:rsidRPr="00D83250">
        <w:rPr>
          <w:sz w:val="18"/>
          <w:szCs w:val="18"/>
          <w:lang w:val="en-GB"/>
        </w:rPr>
        <w:t>+</w:t>
      </w:r>
      <w:r>
        <w:rPr>
          <w:sz w:val="18"/>
          <w:szCs w:val="18"/>
          <w:lang w:val="en-GB"/>
        </w:rPr>
        <w:t>E</w:t>
      </w:r>
      <w:r w:rsidRPr="00D83250">
        <w:rPr>
          <w:sz w:val="18"/>
          <w:szCs w:val="18"/>
          <w:lang w:val="en-GB"/>
        </w:rPr>
        <w:t xml:space="preserve">; </w:t>
      </w:r>
      <w:r>
        <w:rPr>
          <w:sz w:val="18"/>
          <w:szCs w:val="18"/>
          <w:lang w:val="en-GB"/>
        </w:rPr>
        <w:t>C</w:t>
      </w:r>
      <w:r w:rsidRPr="00D83250">
        <w:rPr>
          <w:sz w:val="18"/>
          <w:szCs w:val="18"/>
          <w:lang w:val="en-GB"/>
        </w:rPr>
        <w:t>+</w:t>
      </w:r>
      <w:r>
        <w:rPr>
          <w:sz w:val="18"/>
          <w:szCs w:val="18"/>
          <w:lang w:val="en-GB"/>
        </w:rPr>
        <w:t xml:space="preserve">E </w:t>
      </w:r>
      <w:r w:rsidRPr="00D83250">
        <w:rPr>
          <w:sz w:val="18"/>
          <w:szCs w:val="18"/>
          <w:lang w:val="en-GB"/>
        </w:rPr>
        <w:t xml:space="preserve">12m: after 12 months of </w:t>
      </w:r>
      <w:r>
        <w:rPr>
          <w:sz w:val="18"/>
          <w:szCs w:val="18"/>
          <w:lang w:val="en-GB"/>
        </w:rPr>
        <w:t>C</w:t>
      </w:r>
      <w:r w:rsidRPr="00D83250">
        <w:rPr>
          <w:sz w:val="18"/>
          <w:szCs w:val="18"/>
          <w:lang w:val="en-GB"/>
        </w:rPr>
        <w:t>+</w:t>
      </w:r>
      <w:r>
        <w:rPr>
          <w:sz w:val="18"/>
          <w:szCs w:val="18"/>
          <w:lang w:val="en-GB"/>
        </w:rPr>
        <w:t>E</w:t>
      </w:r>
      <w:r w:rsidRPr="00D83250">
        <w:rPr>
          <w:sz w:val="18"/>
          <w:szCs w:val="18"/>
          <w:lang w:val="en-GB"/>
        </w:rPr>
        <w:t xml:space="preserve">. </w:t>
      </w:r>
      <w:r w:rsidR="00F53134">
        <w:rPr>
          <w:sz w:val="18"/>
          <w:szCs w:val="18"/>
          <w:lang w:val="en-GB"/>
        </w:rPr>
        <w:t>Grey zones: female reference range, hatched zones: male reference range.</w:t>
      </w:r>
      <w:r w:rsidR="00F53134" w:rsidRPr="00D83250">
        <w:rPr>
          <w:sz w:val="18"/>
          <w:szCs w:val="18"/>
          <w:lang w:val="en-GB"/>
        </w:rPr>
        <w:t xml:space="preserve"> </w:t>
      </w:r>
      <w:r w:rsidRPr="00D83250">
        <w:rPr>
          <w:sz w:val="18"/>
          <w:szCs w:val="18"/>
          <w:lang w:val="en-GB"/>
        </w:rPr>
        <w:t xml:space="preserve">A: hemoglobin (g/dL, multiply by 10 for SI units: g/L); B: hematocrit (%, multiply by 0,01 for SI units: proportion of 1,0); </w:t>
      </w:r>
      <w:r>
        <w:rPr>
          <w:sz w:val="18"/>
          <w:szCs w:val="18"/>
          <w:lang w:val="en-GB"/>
        </w:rPr>
        <w:t>C</w:t>
      </w:r>
      <w:r w:rsidRPr="00D83250">
        <w:rPr>
          <w:sz w:val="18"/>
          <w:szCs w:val="18"/>
          <w:lang w:val="en-GB"/>
        </w:rPr>
        <w:t>: creatinine (mg/dL, multiply by 88,4 for SI units: µmol/L);</w:t>
      </w:r>
      <w:r>
        <w:rPr>
          <w:sz w:val="18"/>
          <w:szCs w:val="18"/>
          <w:lang w:val="en-GB"/>
        </w:rPr>
        <w:t xml:space="preserve"> D</w:t>
      </w:r>
      <w:r w:rsidRPr="00D83250">
        <w:rPr>
          <w:sz w:val="18"/>
          <w:szCs w:val="18"/>
          <w:lang w:val="en-GB"/>
        </w:rPr>
        <w:t>: HDL (mg/dL, multiply by 0,0259 for SI units: mmol/L);</w:t>
      </w:r>
      <w:r w:rsidR="004402FD">
        <w:rPr>
          <w:sz w:val="18"/>
          <w:szCs w:val="18"/>
          <w:lang w:val="en-GB"/>
        </w:rPr>
        <w:t xml:space="preserve"> E</w:t>
      </w:r>
      <w:r w:rsidR="004402FD" w:rsidRPr="00D83250">
        <w:rPr>
          <w:sz w:val="18"/>
          <w:szCs w:val="18"/>
          <w:lang w:val="en-GB"/>
        </w:rPr>
        <w:t>: AST (U/L, multiply by</w:t>
      </w:r>
      <w:r w:rsidR="004402FD">
        <w:rPr>
          <w:sz w:val="18"/>
          <w:szCs w:val="18"/>
          <w:lang w:val="en-GB"/>
        </w:rPr>
        <w:t xml:space="preserve"> 0,0167 for SI units: µkat/L); F</w:t>
      </w:r>
      <w:r w:rsidR="004402FD" w:rsidRPr="00D83250">
        <w:rPr>
          <w:sz w:val="18"/>
          <w:szCs w:val="18"/>
          <w:lang w:val="en-GB"/>
        </w:rPr>
        <w:t>: ALT (U/L, multiply by 0,0167 for SI units: µkat/L);</w:t>
      </w:r>
      <w:r w:rsidR="004402FD" w:rsidRPr="004402FD">
        <w:rPr>
          <w:sz w:val="18"/>
          <w:szCs w:val="18"/>
          <w:lang w:val="en-GB"/>
        </w:rPr>
        <w:t xml:space="preserve"> </w:t>
      </w:r>
      <w:r w:rsidR="004402FD">
        <w:rPr>
          <w:sz w:val="18"/>
          <w:szCs w:val="18"/>
          <w:lang w:val="en-GB"/>
        </w:rPr>
        <w:t>G</w:t>
      </w:r>
      <w:r w:rsidR="004402FD" w:rsidRPr="00D83250">
        <w:rPr>
          <w:sz w:val="18"/>
          <w:szCs w:val="18"/>
          <w:lang w:val="en-GB"/>
        </w:rPr>
        <w:t>: Luteinizing Hormone (U/L);</w:t>
      </w:r>
      <w:r w:rsidR="0092176B" w:rsidRPr="00D83250">
        <w:rPr>
          <w:sz w:val="18"/>
          <w:szCs w:val="18"/>
          <w:lang w:val="en-GB"/>
        </w:rPr>
        <w:t xml:space="preserve"> H: Sex Hormone-Binding Globulin (nmol/L); </w:t>
      </w:r>
      <w:r w:rsidR="0092176B">
        <w:rPr>
          <w:sz w:val="18"/>
          <w:szCs w:val="18"/>
          <w:lang w:val="en-GB"/>
        </w:rPr>
        <w:t>I</w:t>
      </w:r>
      <w:r w:rsidR="0092176B" w:rsidRPr="00D83250">
        <w:rPr>
          <w:sz w:val="18"/>
          <w:szCs w:val="18"/>
          <w:lang w:val="en-GB"/>
        </w:rPr>
        <w:t>: Estradiol (ng/L, multiply by 3,671 for SI units: pmol/L);</w:t>
      </w:r>
      <w:r w:rsidR="0092176B">
        <w:rPr>
          <w:sz w:val="18"/>
          <w:szCs w:val="18"/>
          <w:lang w:val="en-GB"/>
        </w:rPr>
        <w:t xml:space="preserve"> J: Prolactin (µg/L, multiply by 43,478 for SI units: pmol/L)</w:t>
      </w:r>
      <w:r w:rsidRPr="00D83250">
        <w:rPr>
          <w:sz w:val="18"/>
          <w:szCs w:val="18"/>
          <w:lang w:val="en-GB"/>
        </w:rPr>
        <w:t xml:space="preserve">; K: Testosterone (ng/dL, multiply by 0,0347 for SI units: nmol/L); L: free Testosterone (ng/dL, multiply by 34,7 for SI units: pmol/L). </w:t>
      </w:r>
      <w:r>
        <w:rPr>
          <w:sz w:val="18"/>
          <w:szCs w:val="18"/>
          <w:lang w:val="en-GB"/>
        </w:rPr>
        <w:t>CA</w:t>
      </w:r>
      <w:r w:rsidRPr="00D83250">
        <w:rPr>
          <w:sz w:val="18"/>
          <w:szCs w:val="18"/>
          <w:lang w:val="en-GB"/>
        </w:rPr>
        <w:t xml:space="preserve">: </w:t>
      </w:r>
      <w:r>
        <w:rPr>
          <w:sz w:val="18"/>
          <w:szCs w:val="18"/>
          <w:lang w:val="en-GB"/>
        </w:rPr>
        <w:t>Cyproterone acetate monotherapy; C</w:t>
      </w:r>
      <w:r w:rsidRPr="00D83250">
        <w:rPr>
          <w:sz w:val="18"/>
          <w:szCs w:val="18"/>
          <w:lang w:val="en-GB"/>
        </w:rPr>
        <w:t>+</w:t>
      </w:r>
      <w:r>
        <w:rPr>
          <w:sz w:val="18"/>
          <w:szCs w:val="18"/>
          <w:lang w:val="en-GB"/>
        </w:rPr>
        <w:t>E</w:t>
      </w:r>
      <w:r w:rsidRPr="00D83250">
        <w:rPr>
          <w:sz w:val="18"/>
          <w:szCs w:val="18"/>
          <w:lang w:val="en-GB"/>
        </w:rPr>
        <w:t xml:space="preserve">: </w:t>
      </w:r>
      <w:r>
        <w:rPr>
          <w:sz w:val="18"/>
          <w:szCs w:val="18"/>
          <w:lang w:val="en-GB"/>
        </w:rPr>
        <w:t>cyproterone acetate</w:t>
      </w:r>
      <w:r w:rsidRPr="00D83250">
        <w:rPr>
          <w:sz w:val="18"/>
          <w:szCs w:val="18"/>
          <w:lang w:val="en-GB"/>
        </w:rPr>
        <w:t xml:space="preserve"> and </w:t>
      </w:r>
      <w:r>
        <w:rPr>
          <w:sz w:val="18"/>
          <w:szCs w:val="18"/>
          <w:lang w:val="en-GB"/>
        </w:rPr>
        <w:t>17β-estradiol</w:t>
      </w:r>
      <w:r w:rsidRPr="00D83250">
        <w:rPr>
          <w:sz w:val="18"/>
          <w:szCs w:val="18"/>
          <w:lang w:val="en-GB"/>
        </w:rPr>
        <w:t xml:space="preserve"> combination therapy. AST/ALT: Aspartate/Alanine Amino Transferase; HDL: High Density Lipoprotein.</w:t>
      </w:r>
    </w:p>
    <w:p w14:paraId="6DD58CB2" w14:textId="77777777" w:rsidR="00FE7A56" w:rsidRDefault="00FE7A56" w:rsidP="00FE7A56">
      <w:pPr>
        <w:rPr>
          <w:b/>
          <w:lang w:val="en-GB"/>
        </w:rPr>
      </w:pPr>
      <w:r>
        <w:rPr>
          <w:b/>
          <w:lang w:val="en-GB"/>
        </w:rPr>
        <w:br w:type="page"/>
      </w:r>
    </w:p>
    <w:p w14:paraId="34837370" w14:textId="77777777" w:rsidR="00FE7A56" w:rsidRDefault="00FE7A56" w:rsidP="00FE7A56">
      <w:pPr>
        <w:rPr>
          <w:b/>
          <w:lang w:val="en-GB"/>
        </w:rPr>
        <w:sectPr w:rsidR="00FE7A56" w:rsidSect="00E80ADC">
          <w:pgSz w:w="11906" w:h="16838"/>
          <w:pgMar w:top="1417" w:right="1417" w:bottom="1417" w:left="1417" w:header="708" w:footer="708" w:gutter="0"/>
          <w:cols w:space="708"/>
          <w:docGrid w:linePitch="360"/>
        </w:sectPr>
      </w:pPr>
    </w:p>
    <w:p w14:paraId="6B9510B0" w14:textId="5950FC3C" w:rsidR="00FE7A56" w:rsidRDefault="00A44497" w:rsidP="00FE7A56">
      <w:pPr>
        <w:spacing w:after="0" w:line="240" w:lineRule="auto"/>
        <w:rPr>
          <w:b/>
          <w:lang w:val="en-GB"/>
        </w:rPr>
      </w:pPr>
      <w:r>
        <w:rPr>
          <w:b/>
          <w:lang w:val="en-GB"/>
        </w:rPr>
        <w:lastRenderedPageBreak/>
        <w:t>Table 9</w:t>
      </w:r>
      <w:r w:rsidR="00FE7A56">
        <w:rPr>
          <w:b/>
          <w:lang w:val="en-GB"/>
        </w:rPr>
        <w:t>.</w:t>
      </w:r>
      <w:r w:rsidR="00FE7A56" w:rsidRPr="00FE7A56">
        <w:rPr>
          <w:lang w:val="en-GB"/>
        </w:rPr>
        <w:t xml:space="preserve"> </w:t>
      </w:r>
      <w:r w:rsidR="00FE7A56" w:rsidRPr="006E08CD">
        <w:rPr>
          <w:lang w:val="en-GB"/>
        </w:rPr>
        <w:t>Summary of analysis of biochemical data.</w:t>
      </w:r>
    </w:p>
    <w:tbl>
      <w:tblPr>
        <w:tblStyle w:val="Tabelraster"/>
        <w:tblW w:w="13858" w:type="dxa"/>
        <w:tblLayout w:type="fixed"/>
        <w:tblLook w:val="04A0" w:firstRow="1" w:lastRow="0" w:firstColumn="1" w:lastColumn="0" w:noHBand="0" w:noVBand="1"/>
      </w:tblPr>
      <w:tblGrid>
        <w:gridCol w:w="3227"/>
        <w:gridCol w:w="1044"/>
        <w:gridCol w:w="1045"/>
        <w:gridCol w:w="1045"/>
        <w:gridCol w:w="1044"/>
        <w:gridCol w:w="1045"/>
        <w:gridCol w:w="1045"/>
        <w:gridCol w:w="1044"/>
        <w:gridCol w:w="1193"/>
        <w:gridCol w:w="897"/>
        <w:gridCol w:w="1229"/>
      </w:tblGrid>
      <w:tr w:rsidR="00FE7A56" w:rsidRPr="00B53119" w14:paraId="75ADDEFF" w14:textId="77777777" w:rsidTr="006A7048">
        <w:trPr>
          <w:trHeight w:val="300"/>
        </w:trPr>
        <w:tc>
          <w:tcPr>
            <w:tcW w:w="3227" w:type="dxa"/>
            <w:tcBorders>
              <w:bottom w:val="single" w:sz="4" w:space="0" w:color="auto"/>
            </w:tcBorders>
            <w:shd w:val="clear" w:color="auto" w:fill="FFFFFF" w:themeFill="background1"/>
            <w:noWrap/>
            <w:hideMark/>
          </w:tcPr>
          <w:p w14:paraId="714FD452" w14:textId="001A492B" w:rsidR="00FE7A56" w:rsidRDefault="00FE7A56" w:rsidP="00E64253">
            <w:pPr>
              <w:jc w:val="center"/>
              <w:rPr>
                <w:b/>
                <w:sz w:val="16"/>
                <w:szCs w:val="16"/>
                <w:lang w:val="en-GB"/>
              </w:rPr>
            </w:pPr>
            <w:r w:rsidRPr="000276D1">
              <w:rPr>
                <w:b/>
                <w:sz w:val="16"/>
                <w:szCs w:val="16"/>
                <w:lang w:val="en-GB"/>
              </w:rPr>
              <w:t>Test</w:t>
            </w:r>
          </w:p>
          <w:p w14:paraId="1E914048" w14:textId="77777777" w:rsidR="00FE7A56" w:rsidRPr="00DC6CF6" w:rsidRDefault="00FE7A56" w:rsidP="00E64253">
            <w:pPr>
              <w:jc w:val="center"/>
              <w:rPr>
                <w:sz w:val="16"/>
                <w:szCs w:val="16"/>
                <w:lang w:val="en-GB"/>
              </w:rPr>
            </w:pPr>
            <w:r w:rsidRPr="00DC6CF6">
              <w:rPr>
                <w:sz w:val="16"/>
                <w:szCs w:val="16"/>
                <w:lang w:val="en-GB"/>
              </w:rPr>
              <w:t>Method of measurement</w:t>
            </w:r>
          </w:p>
        </w:tc>
        <w:tc>
          <w:tcPr>
            <w:tcW w:w="1044" w:type="dxa"/>
            <w:shd w:val="clear" w:color="auto" w:fill="FFFFFF" w:themeFill="background1"/>
            <w:noWrap/>
            <w:hideMark/>
          </w:tcPr>
          <w:p w14:paraId="455BD29D" w14:textId="77777777" w:rsidR="00FE7A56" w:rsidRPr="000276D1" w:rsidRDefault="00FE7A56" w:rsidP="00E64253">
            <w:pPr>
              <w:jc w:val="center"/>
              <w:rPr>
                <w:b/>
                <w:sz w:val="16"/>
                <w:szCs w:val="16"/>
                <w:lang w:val="en-GB"/>
              </w:rPr>
            </w:pPr>
            <w:r>
              <w:rPr>
                <w:b/>
                <w:sz w:val="16"/>
                <w:szCs w:val="16"/>
                <w:lang w:val="en-GB"/>
              </w:rPr>
              <w:t>CA</w:t>
            </w:r>
            <w:r w:rsidRPr="000276D1">
              <w:rPr>
                <w:b/>
                <w:sz w:val="16"/>
                <w:szCs w:val="16"/>
                <w:lang w:val="en-GB"/>
              </w:rPr>
              <w:t>0</w:t>
            </w:r>
          </w:p>
        </w:tc>
        <w:tc>
          <w:tcPr>
            <w:tcW w:w="1045" w:type="dxa"/>
            <w:shd w:val="clear" w:color="auto" w:fill="FFFFFF" w:themeFill="background1"/>
            <w:noWrap/>
            <w:hideMark/>
          </w:tcPr>
          <w:p w14:paraId="6EAB9D4F" w14:textId="77777777" w:rsidR="00FE7A56" w:rsidRPr="000276D1" w:rsidRDefault="00FE7A56" w:rsidP="00E64253">
            <w:pPr>
              <w:jc w:val="center"/>
              <w:rPr>
                <w:b/>
                <w:sz w:val="16"/>
                <w:szCs w:val="16"/>
                <w:lang w:val="en-GB"/>
              </w:rPr>
            </w:pPr>
            <w:r>
              <w:rPr>
                <w:b/>
                <w:sz w:val="16"/>
                <w:szCs w:val="16"/>
                <w:lang w:val="en-GB"/>
              </w:rPr>
              <w:t>CA</w:t>
            </w:r>
            <w:r w:rsidRPr="000276D1">
              <w:rPr>
                <w:b/>
                <w:sz w:val="16"/>
                <w:szCs w:val="16"/>
                <w:lang w:val="en-GB"/>
              </w:rPr>
              <w:t>6m</w:t>
            </w:r>
          </w:p>
        </w:tc>
        <w:tc>
          <w:tcPr>
            <w:tcW w:w="1045" w:type="dxa"/>
            <w:shd w:val="clear" w:color="auto" w:fill="FFFFFF" w:themeFill="background1"/>
            <w:noWrap/>
            <w:hideMark/>
          </w:tcPr>
          <w:p w14:paraId="48BEDC74" w14:textId="77777777" w:rsidR="00FE7A56" w:rsidRPr="000276D1" w:rsidRDefault="00FE7A56" w:rsidP="00E64253">
            <w:pPr>
              <w:jc w:val="center"/>
              <w:rPr>
                <w:b/>
                <w:i/>
                <w:sz w:val="16"/>
                <w:szCs w:val="16"/>
                <w:lang w:val="en-GB"/>
              </w:rPr>
            </w:pPr>
            <w:r w:rsidRPr="000276D1">
              <w:rPr>
                <w:b/>
                <w:i/>
                <w:sz w:val="16"/>
                <w:szCs w:val="16"/>
                <w:lang w:val="en-GB"/>
              </w:rPr>
              <w:t xml:space="preserve">P </w:t>
            </w:r>
            <w:r>
              <w:rPr>
                <w:b/>
                <w:i/>
                <w:sz w:val="16"/>
                <w:szCs w:val="16"/>
                <w:lang w:val="en-GB"/>
              </w:rPr>
              <w:t>(CA</w:t>
            </w:r>
            <w:r w:rsidRPr="000276D1">
              <w:rPr>
                <w:b/>
                <w:i/>
                <w:sz w:val="16"/>
                <w:szCs w:val="16"/>
                <w:lang w:val="en-GB"/>
              </w:rPr>
              <w:t>0-6m)</w:t>
            </w:r>
          </w:p>
        </w:tc>
        <w:tc>
          <w:tcPr>
            <w:tcW w:w="1044" w:type="dxa"/>
            <w:shd w:val="clear" w:color="auto" w:fill="FFFFFF" w:themeFill="background1"/>
            <w:noWrap/>
            <w:hideMark/>
          </w:tcPr>
          <w:p w14:paraId="5D1C389D" w14:textId="77777777" w:rsidR="00FE7A56" w:rsidRPr="000276D1" w:rsidRDefault="00FE7A56" w:rsidP="00E64253">
            <w:pPr>
              <w:jc w:val="center"/>
              <w:rPr>
                <w:b/>
                <w:sz w:val="16"/>
                <w:szCs w:val="16"/>
                <w:lang w:val="en-GB"/>
              </w:rPr>
            </w:pPr>
            <w:r>
              <w:rPr>
                <w:b/>
                <w:sz w:val="16"/>
                <w:szCs w:val="16"/>
                <w:lang w:val="en-GB"/>
              </w:rPr>
              <w:t>CA</w:t>
            </w:r>
            <w:r w:rsidRPr="000276D1">
              <w:rPr>
                <w:b/>
                <w:sz w:val="16"/>
                <w:szCs w:val="16"/>
                <w:lang w:val="en-GB"/>
              </w:rPr>
              <w:t>12m</w:t>
            </w:r>
          </w:p>
        </w:tc>
        <w:tc>
          <w:tcPr>
            <w:tcW w:w="1045" w:type="dxa"/>
            <w:shd w:val="clear" w:color="auto" w:fill="FFFFFF" w:themeFill="background1"/>
            <w:noWrap/>
            <w:hideMark/>
          </w:tcPr>
          <w:p w14:paraId="1EB4BD26" w14:textId="77777777" w:rsidR="00FE7A56" w:rsidRPr="000276D1" w:rsidRDefault="00FE7A56" w:rsidP="00E64253">
            <w:pPr>
              <w:jc w:val="center"/>
              <w:rPr>
                <w:b/>
                <w:i/>
                <w:sz w:val="16"/>
                <w:szCs w:val="16"/>
                <w:lang w:val="en-GB"/>
              </w:rPr>
            </w:pPr>
            <w:r w:rsidRPr="000276D1">
              <w:rPr>
                <w:b/>
                <w:i/>
                <w:sz w:val="16"/>
                <w:szCs w:val="16"/>
                <w:lang w:val="en-GB"/>
              </w:rPr>
              <w:t>P (</w:t>
            </w:r>
            <w:r>
              <w:rPr>
                <w:b/>
                <w:i/>
                <w:sz w:val="16"/>
                <w:szCs w:val="16"/>
                <w:lang w:val="en-GB"/>
              </w:rPr>
              <w:t>CA</w:t>
            </w:r>
            <w:r w:rsidRPr="000276D1">
              <w:rPr>
                <w:b/>
                <w:i/>
                <w:sz w:val="16"/>
                <w:szCs w:val="16"/>
                <w:lang w:val="en-GB"/>
              </w:rPr>
              <w:t>0-12m)</w:t>
            </w:r>
          </w:p>
        </w:tc>
        <w:tc>
          <w:tcPr>
            <w:tcW w:w="1045" w:type="dxa"/>
            <w:shd w:val="clear" w:color="auto" w:fill="FFFFFF" w:themeFill="background1"/>
            <w:noWrap/>
            <w:hideMark/>
          </w:tcPr>
          <w:p w14:paraId="16C913AE" w14:textId="0DA942CE" w:rsidR="00FE7A56" w:rsidRPr="000276D1" w:rsidRDefault="00FE7A56" w:rsidP="00E64253">
            <w:pPr>
              <w:jc w:val="center"/>
              <w:rPr>
                <w:b/>
                <w:sz w:val="16"/>
                <w:szCs w:val="16"/>
                <w:lang w:val="en-GB"/>
              </w:rPr>
            </w:pPr>
            <w:r>
              <w:rPr>
                <w:b/>
                <w:sz w:val="16"/>
                <w:szCs w:val="16"/>
                <w:lang w:val="en-GB"/>
              </w:rPr>
              <w:t>C</w:t>
            </w:r>
            <w:r w:rsidR="007F650B">
              <w:rPr>
                <w:b/>
                <w:sz w:val="16"/>
                <w:szCs w:val="16"/>
                <w:lang w:val="en-GB"/>
              </w:rPr>
              <w:t>A</w:t>
            </w:r>
            <w:r w:rsidRPr="000276D1">
              <w:rPr>
                <w:b/>
                <w:sz w:val="16"/>
                <w:szCs w:val="16"/>
                <w:lang w:val="en-GB"/>
              </w:rPr>
              <w:t>+</w:t>
            </w:r>
            <w:r>
              <w:rPr>
                <w:b/>
                <w:sz w:val="16"/>
                <w:szCs w:val="16"/>
                <w:lang w:val="en-GB"/>
              </w:rPr>
              <w:t>E</w:t>
            </w:r>
            <w:r w:rsidRPr="000276D1">
              <w:rPr>
                <w:b/>
                <w:sz w:val="16"/>
                <w:szCs w:val="16"/>
                <w:lang w:val="en-GB"/>
              </w:rPr>
              <w:t>0</w:t>
            </w:r>
          </w:p>
        </w:tc>
        <w:tc>
          <w:tcPr>
            <w:tcW w:w="1044" w:type="dxa"/>
            <w:shd w:val="clear" w:color="auto" w:fill="FFFFFF" w:themeFill="background1"/>
            <w:noWrap/>
            <w:hideMark/>
          </w:tcPr>
          <w:p w14:paraId="3B04A884" w14:textId="34D2EB21" w:rsidR="00FE7A56" w:rsidRPr="000276D1" w:rsidRDefault="00FE7A56" w:rsidP="00E64253">
            <w:pPr>
              <w:jc w:val="center"/>
              <w:rPr>
                <w:b/>
                <w:sz w:val="16"/>
                <w:szCs w:val="16"/>
                <w:lang w:val="en-GB"/>
              </w:rPr>
            </w:pPr>
            <w:r>
              <w:rPr>
                <w:b/>
                <w:sz w:val="16"/>
                <w:szCs w:val="16"/>
                <w:lang w:val="en-GB"/>
              </w:rPr>
              <w:t>C</w:t>
            </w:r>
            <w:r w:rsidR="007F650B">
              <w:rPr>
                <w:b/>
                <w:sz w:val="16"/>
                <w:szCs w:val="16"/>
                <w:lang w:val="en-GB"/>
              </w:rPr>
              <w:t>A</w:t>
            </w:r>
            <w:r w:rsidRPr="000276D1">
              <w:rPr>
                <w:b/>
                <w:sz w:val="16"/>
                <w:szCs w:val="16"/>
                <w:lang w:val="en-GB"/>
              </w:rPr>
              <w:t>+</w:t>
            </w:r>
            <w:r>
              <w:rPr>
                <w:b/>
                <w:sz w:val="16"/>
                <w:szCs w:val="16"/>
                <w:lang w:val="en-GB"/>
              </w:rPr>
              <w:t>E</w:t>
            </w:r>
            <w:r w:rsidRPr="000276D1">
              <w:rPr>
                <w:b/>
                <w:sz w:val="16"/>
                <w:szCs w:val="16"/>
                <w:lang w:val="en-GB"/>
              </w:rPr>
              <w:t>6m</w:t>
            </w:r>
          </w:p>
        </w:tc>
        <w:tc>
          <w:tcPr>
            <w:tcW w:w="1193" w:type="dxa"/>
            <w:shd w:val="clear" w:color="auto" w:fill="FFFFFF" w:themeFill="background1"/>
            <w:noWrap/>
            <w:hideMark/>
          </w:tcPr>
          <w:p w14:paraId="3CC1B389" w14:textId="00031C10" w:rsidR="00FE7A56" w:rsidRPr="000276D1" w:rsidRDefault="00FE7A56" w:rsidP="00E64253">
            <w:pPr>
              <w:jc w:val="center"/>
              <w:rPr>
                <w:b/>
                <w:i/>
                <w:sz w:val="16"/>
                <w:szCs w:val="16"/>
                <w:lang w:val="en-GB"/>
              </w:rPr>
            </w:pPr>
            <w:r w:rsidRPr="000276D1">
              <w:rPr>
                <w:b/>
                <w:i/>
                <w:sz w:val="16"/>
                <w:szCs w:val="16"/>
                <w:lang w:val="en-GB"/>
              </w:rPr>
              <w:t>P (</w:t>
            </w:r>
            <w:r>
              <w:rPr>
                <w:b/>
                <w:i/>
                <w:sz w:val="16"/>
                <w:szCs w:val="16"/>
                <w:lang w:val="en-GB"/>
              </w:rPr>
              <w:t>C</w:t>
            </w:r>
            <w:r w:rsidR="006A7048">
              <w:rPr>
                <w:b/>
                <w:i/>
                <w:sz w:val="16"/>
                <w:szCs w:val="16"/>
                <w:lang w:val="en-GB"/>
              </w:rPr>
              <w:t>A</w:t>
            </w:r>
            <w:r w:rsidRPr="000276D1">
              <w:rPr>
                <w:b/>
                <w:i/>
                <w:sz w:val="16"/>
                <w:szCs w:val="16"/>
                <w:lang w:val="en-GB"/>
              </w:rPr>
              <w:t>+</w:t>
            </w:r>
            <w:r>
              <w:rPr>
                <w:b/>
                <w:i/>
                <w:sz w:val="16"/>
                <w:szCs w:val="16"/>
                <w:lang w:val="en-GB"/>
              </w:rPr>
              <w:t>E</w:t>
            </w:r>
            <w:r w:rsidRPr="000276D1">
              <w:rPr>
                <w:b/>
                <w:i/>
                <w:sz w:val="16"/>
                <w:szCs w:val="16"/>
                <w:lang w:val="en-GB"/>
              </w:rPr>
              <w:t>0-6m)</w:t>
            </w:r>
          </w:p>
        </w:tc>
        <w:tc>
          <w:tcPr>
            <w:tcW w:w="897" w:type="dxa"/>
            <w:shd w:val="clear" w:color="auto" w:fill="FFFFFF" w:themeFill="background1"/>
            <w:noWrap/>
            <w:hideMark/>
          </w:tcPr>
          <w:p w14:paraId="6E11519A" w14:textId="3A751DCE" w:rsidR="00FE7A56" w:rsidRPr="000276D1" w:rsidRDefault="00FE7A56" w:rsidP="00E64253">
            <w:pPr>
              <w:jc w:val="center"/>
              <w:rPr>
                <w:b/>
                <w:sz w:val="16"/>
                <w:szCs w:val="16"/>
                <w:lang w:val="en-GB"/>
              </w:rPr>
            </w:pPr>
            <w:r>
              <w:rPr>
                <w:b/>
                <w:sz w:val="16"/>
                <w:szCs w:val="16"/>
                <w:lang w:val="en-GB"/>
              </w:rPr>
              <w:t>C</w:t>
            </w:r>
            <w:r w:rsidR="007F650B">
              <w:rPr>
                <w:b/>
                <w:sz w:val="16"/>
                <w:szCs w:val="16"/>
                <w:lang w:val="en-GB"/>
              </w:rPr>
              <w:t>A</w:t>
            </w:r>
            <w:r w:rsidRPr="000276D1">
              <w:rPr>
                <w:b/>
                <w:sz w:val="16"/>
                <w:szCs w:val="16"/>
                <w:lang w:val="en-GB"/>
              </w:rPr>
              <w:t>+</w:t>
            </w:r>
            <w:r>
              <w:rPr>
                <w:b/>
                <w:sz w:val="16"/>
                <w:szCs w:val="16"/>
                <w:lang w:val="en-GB"/>
              </w:rPr>
              <w:t>E</w:t>
            </w:r>
            <w:r w:rsidRPr="000276D1">
              <w:rPr>
                <w:b/>
                <w:sz w:val="16"/>
                <w:szCs w:val="16"/>
                <w:lang w:val="en-GB"/>
              </w:rPr>
              <w:t>12m</w:t>
            </w:r>
          </w:p>
        </w:tc>
        <w:tc>
          <w:tcPr>
            <w:tcW w:w="1229" w:type="dxa"/>
            <w:shd w:val="clear" w:color="auto" w:fill="FFFFFF" w:themeFill="background1"/>
            <w:noWrap/>
            <w:hideMark/>
          </w:tcPr>
          <w:p w14:paraId="2974820C" w14:textId="7F3FFBEF" w:rsidR="00FE7A56" w:rsidRPr="000276D1" w:rsidRDefault="00FE7A56" w:rsidP="00E64253">
            <w:pPr>
              <w:jc w:val="center"/>
              <w:rPr>
                <w:b/>
                <w:i/>
                <w:sz w:val="16"/>
                <w:szCs w:val="16"/>
                <w:lang w:val="en-GB"/>
              </w:rPr>
            </w:pPr>
            <w:r w:rsidRPr="000276D1">
              <w:rPr>
                <w:b/>
                <w:i/>
                <w:sz w:val="16"/>
                <w:szCs w:val="16"/>
                <w:lang w:val="en-GB"/>
              </w:rPr>
              <w:t xml:space="preserve">P </w:t>
            </w:r>
            <w:r>
              <w:rPr>
                <w:b/>
                <w:i/>
                <w:sz w:val="16"/>
                <w:szCs w:val="16"/>
                <w:lang w:val="en-GB"/>
              </w:rPr>
              <w:t>(C</w:t>
            </w:r>
            <w:r w:rsidR="006A7048">
              <w:rPr>
                <w:b/>
                <w:i/>
                <w:sz w:val="16"/>
                <w:szCs w:val="16"/>
                <w:lang w:val="en-GB"/>
              </w:rPr>
              <w:t>A</w:t>
            </w:r>
            <w:r w:rsidRPr="000276D1">
              <w:rPr>
                <w:b/>
                <w:i/>
                <w:sz w:val="16"/>
                <w:szCs w:val="16"/>
                <w:lang w:val="en-GB"/>
              </w:rPr>
              <w:t>+</w:t>
            </w:r>
            <w:r>
              <w:rPr>
                <w:b/>
                <w:i/>
                <w:sz w:val="16"/>
                <w:szCs w:val="16"/>
                <w:lang w:val="en-GB"/>
              </w:rPr>
              <w:t>E</w:t>
            </w:r>
            <w:r w:rsidRPr="000276D1">
              <w:rPr>
                <w:b/>
                <w:i/>
                <w:sz w:val="16"/>
                <w:szCs w:val="16"/>
                <w:lang w:val="en-GB"/>
              </w:rPr>
              <w:t>0-</w:t>
            </w:r>
            <w:r w:rsidRPr="00841977">
              <w:rPr>
                <w:b/>
                <w:i/>
                <w:sz w:val="16"/>
                <w:szCs w:val="16"/>
                <w:lang w:val="en-GB"/>
              </w:rPr>
              <w:t>12m)</w:t>
            </w:r>
          </w:p>
        </w:tc>
      </w:tr>
      <w:tr w:rsidR="00FE7A56" w:rsidRPr="00B53119" w14:paraId="70F5E017" w14:textId="77777777" w:rsidTr="006A7048">
        <w:trPr>
          <w:trHeight w:val="300"/>
        </w:trPr>
        <w:tc>
          <w:tcPr>
            <w:tcW w:w="3227" w:type="dxa"/>
            <w:vMerge w:val="restart"/>
            <w:shd w:val="clear" w:color="auto" w:fill="FFFFFF" w:themeFill="background1"/>
            <w:noWrap/>
            <w:hideMark/>
          </w:tcPr>
          <w:p w14:paraId="2A50D845" w14:textId="46F1E938" w:rsidR="00FE7A56" w:rsidRPr="00841977" w:rsidRDefault="00FE7A56" w:rsidP="00E64253">
            <w:pPr>
              <w:rPr>
                <w:sz w:val="18"/>
                <w:szCs w:val="18"/>
                <w:lang w:val="en-GB"/>
              </w:rPr>
            </w:pPr>
            <w:r w:rsidRPr="00841977">
              <w:rPr>
                <w:b/>
                <w:sz w:val="18"/>
                <w:szCs w:val="18"/>
                <w:lang w:val="en-GB"/>
              </w:rPr>
              <w:t>Hemoglobin</w:t>
            </w:r>
            <w:r w:rsidR="00377F3E">
              <w:rPr>
                <w:b/>
                <w:sz w:val="18"/>
                <w:szCs w:val="18"/>
                <w:lang w:val="en-GB"/>
              </w:rPr>
              <w:t xml:space="preserve"> (g/L)</w:t>
            </w:r>
          </w:p>
          <w:p w14:paraId="7A859DD0" w14:textId="77777777" w:rsidR="00FE7A56" w:rsidRPr="00841977" w:rsidRDefault="00FE7A56" w:rsidP="00E64253">
            <w:pPr>
              <w:rPr>
                <w:sz w:val="18"/>
                <w:szCs w:val="18"/>
                <w:lang w:val="en-GB"/>
              </w:rPr>
            </w:pPr>
            <w:r w:rsidRPr="00C851D8">
              <w:rPr>
                <w:sz w:val="16"/>
                <w:szCs w:val="16"/>
                <w:lang w:val="en-GB"/>
              </w:rPr>
              <w:t>Spectrophotometry (Sysmex XE-5000)</w:t>
            </w:r>
          </w:p>
        </w:tc>
        <w:tc>
          <w:tcPr>
            <w:tcW w:w="1044" w:type="dxa"/>
            <w:noWrap/>
            <w:vAlign w:val="bottom"/>
            <w:hideMark/>
          </w:tcPr>
          <w:p w14:paraId="73043117" w14:textId="14F4C599" w:rsidR="00FE7A56" w:rsidRDefault="00847269" w:rsidP="00847269">
            <w:pPr>
              <w:jc w:val="right"/>
              <w:rPr>
                <w:rFonts w:ascii="Calibri" w:hAnsi="Calibri"/>
                <w:color w:val="000000"/>
              </w:rPr>
            </w:pPr>
            <w:r>
              <w:rPr>
                <w:rFonts w:ascii="Calibri" w:hAnsi="Calibri"/>
                <w:color w:val="000000"/>
              </w:rPr>
              <w:t>15</w:t>
            </w:r>
            <w:r w:rsidR="00FE7A56">
              <w:rPr>
                <w:rFonts w:ascii="Calibri" w:hAnsi="Calibri"/>
                <w:color w:val="000000"/>
              </w:rPr>
              <w:t>0</w:t>
            </w:r>
            <w:r>
              <w:rPr>
                <w:rFonts w:ascii="Calibri" w:hAnsi="Calibri"/>
                <w:color w:val="000000"/>
              </w:rPr>
              <w:t>,2</w:t>
            </w:r>
          </w:p>
        </w:tc>
        <w:tc>
          <w:tcPr>
            <w:tcW w:w="1045" w:type="dxa"/>
            <w:noWrap/>
            <w:vAlign w:val="bottom"/>
            <w:hideMark/>
          </w:tcPr>
          <w:p w14:paraId="02DC3B5E" w14:textId="48E33259" w:rsidR="00FE7A56" w:rsidRDefault="00FE7A56" w:rsidP="00847269">
            <w:pPr>
              <w:jc w:val="right"/>
              <w:rPr>
                <w:rFonts w:ascii="Calibri" w:hAnsi="Calibri"/>
                <w:color w:val="000000"/>
              </w:rPr>
            </w:pPr>
            <w:r>
              <w:rPr>
                <w:rFonts w:ascii="Calibri" w:hAnsi="Calibri"/>
                <w:color w:val="000000"/>
              </w:rPr>
              <w:t>1</w:t>
            </w:r>
            <w:r w:rsidR="00847269">
              <w:rPr>
                <w:rFonts w:ascii="Calibri" w:hAnsi="Calibri"/>
                <w:color w:val="000000"/>
              </w:rPr>
              <w:t>3</w:t>
            </w:r>
            <w:r>
              <w:rPr>
                <w:rFonts w:ascii="Calibri" w:hAnsi="Calibri"/>
                <w:color w:val="000000"/>
              </w:rPr>
              <w:t>9</w:t>
            </w:r>
            <w:r w:rsidR="00847269">
              <w:rPr>
                <w:rFonts w:ascii="Calibri" w:hAnsi="Calibri"/>
                <w:color w:val="000000"/>
              </w:rPr>
              <w:t>,8</w:t>
            </w:r>
          </w:p>
        </w:tc>
        <w:tc>
          <w:tcPr>
            <w:tcW w:w="1045" w:type="dxa"/>
            <w:noWrap/>
            <w:vAlign w:val="bottom"/>
            <w:hideMark/>
          </w:tcPr>
          <w:p w14:paraId="55DE29F0" w14:textId="77777777" w:rsidR="00FE7A56" w:rsidRPr="00841977" w:rsidRDefault="00FE7A56" w:rsidP="00E64253">
            <w:pPr>
              <w:jc w:val="right"/>
              <w:rPr>
                <w:rFonts w:ascii="Calibri" w:hAnsi="Calibri"/>
                <w:b/>
                <w:sz w:val="18"/>
                <w:szCs w:val="18"/>
                <w:lang w:val="en-GB"/>
              </w:rPr>
            </w:pPr>
            <w:r>
              <w:rPr>
                <w:rFonts w:ascii="Calibri" w:hAnsi="Calibri"/>
                <w:b/>
                <w:sz w:val="18"/>
                <w:szCs w:val="18"/>
                <w:lang w:val="en-GB"/>
              </w:rPr>
              <w:t>&lt;0,001</w:t>
            </w:r>
          </w:p>
        </w:tc>
        <w:tc>
          <w:tcPr>
            <w:tcW w:w="1044" w:type="dxa"/>
            <w:noWrap/>
            <w:vAlign w:val="bottom"/>
            <w:hideMark/>
          </w:tcPr>
          <w:p w14:paraId="46FBBD26" w14:textId="37EB522E" w:rsidR="00FE7A56" w:rsidRPr="009F1C23" w:rsidRDefault="00FE7A56" w:rsidP="00847269">
            <w:pPr>
              <w:jc w:val="right"/>
              <w:rPr>
                <w:rFonts w:ascii="Calibri" w:hAnsi="Calibri"/>
                <w:color w:val="000000"/>
              </w:rPr>
            </w:pPr>
            <w:r>
              <w:rPr>
                <w:rFonts w:ascii="Calibri" w:hAnsi="Calibri"/>
                <w:color w:val="000000"/>
              </w:rPr>
              <w:t>133</w:t>
            </w:r>
            <w:r w:rsidR="00847269">
              <w:rPr>
                <w:rFonts w:ascii="Calibri" w:hAnsi="Calibri"/>
                <w:color w:val="000000"/>
              </w:rPr>
              <w:t>,9</w:t>
            </w:r>
          </w:p>
        </w:tc>
        <w:tc>
          <w:tcPr>
            <w:tcW w:w="1045" w:type="dxa"/>
            <w:noWrap/>
            <w:vAlign w:val="bottom"/>
            <w:hideMark/>
          </w:tcPr>
          <w:p w14:paraId="429426EF" w14:textId="77777777" w:rsidR="00FE7A56" w:rsidRPr="00841977" w:rsidRDefault="00FE7A56" w:rsidP="00E64253">
            <w:pPr>
              <w:jc w:val="right"/>
              <w:rPr>
                <w:rFonts w:ascii="Calibri" w:hAnsi="Calibri"/>
                <w:b/>
                <w:sz w:val="18"/>
                <w:szCs w:val="18"/>
                <w:lang w:val="en-GB"/>
              </w:rPr>
            </w:pPr>
            <w:r>
              <w:rPr>
                <w:rFonts w:ascii="Calibri" w:hAnsi="Calibri"/>
                <w:b/>
                <w:sz w:val="18"/>
                <w:szCs w:val="18"/>
                <w:lang w:val="en-GB"/>
              </w:rPr>
              <w:t>0,003</w:t>
            </w:r>
          </w:p>
        </w:tc>
        <w:tc>
          <w:tcPr>
            <w:tcW w:w="1045" w:type="dxa"/>
            <w:noWrap/>
            <w:vAlign w:val="bottom"/>
            <w:hideMark/>
          </w:tcPr>
          <w:p w14:paraId="48A66748" w14:textId="7EF168F7" w:rsidR="00FE7A56" w:rsidRDefault="00FE7A56" w:rsidP="00847269">
            <w:pPr>
              <w:jc w:val="right"/>
              <w:rPr>
                <w:rFonts w:ascii="Calibri" w:hAnsi="Calibri"/>
                <w:color w:val="000000"/>
              </w:rPr>
            </w:pPr>
            <w:r>
              <w:rPr>
                <w:rFonts w:ascii="Calibri" w:hAnsi="Calibri"/>
                <w:color w:val="000000"/>
              </w:rPr>
              <w:t>137</w:t>
            </w:r>
            <w:r w:rsidR="00847269">
              <w:rPr>
                <w:rFonts w:ascii="Calibri" w:hAnsi="Calibri"/>
                <w:color w:val="000000"/>
              </w:rPr>
              <w:t>,9</w:t>
            </w:r>
          </w:p>
        </w:tc>
        <w:tc>
          <w:tcPr>
            <w:tcW w:w="1044" w:type="dxa"/>
            <w:noWrap/>
            <w:vAlign w:val="bottom"/>
            <w:hideMark/>
          </w:tcPr>
          <w:p w14:paraId="32D5016F" w14:textId="2F309C4F" w:rsidR="00FE7A56" w:rsidRDefault="00FE7A56" w:rsidP="00847269">
            <w:pPr>
              <w:jc w:val="right"/>
              <w:rPr>
                <w:rFonts w:ascii="Calibri" w:hAnsi="Calibri"/>
                <w:color w:val="000000"/>
              </w:rPr>
            </w:pPr>
            <w:r>
              <w:rPr>
                <w:rFonts w:ascii="Calibri" w:hAnsi="Calibri"/>
                <w:color w:val="000000"/>
              </w:rPr>
              <w:t>139</w:t>
            </w:r>
            <w:r w:rsidR="00847269">
              <w:rPr>
                <w:rFonts w:ascii="Calibri" w:hAnsi="Calibri"/>
                <w:color w:val="000000"/>
              </w:rPr>
              <w:t>,5</w:t>
            </w:r>
          </w:p>
        </w:tc>
        <w:tc>
          <w:tcPr>
            <w:tcW w:w="1193" w:type="dxa"/>
            <w:noWrap/>
            <w:vAlign w:val="bottom"/>
            <w:hideMark/>
          </w:tcPr>
          <w:p w14:paraId="30A4D5B8" w14:textId="77777777" w:rsidR="00FE7A56" w:rsidRPr="00841977" w:rsidRDefault="00FE7A56" w:rsidP="00E64253">
            <w:pPr>
              <w:jc w:val="right"/>
              <w:rPr>
                <w:rFonts w:ascii="Calibri" w:hAnsi="Calibri"/>
                <w:b/>
                <w:sz w:val="18"/>
                <w:szCs w:val="18"/>
                <w:lang w:val="en-GB"/>
              </w:rPr>
            </w:pPr>
            <w:r>
              <w:rPr>
                <w:rFonts w:ascii="Calibri" w:hAnsi="Calibri"/>
                <w:b/>
                <w:sz w:val="18"/>
                <w:szCs w:val="18"/>
                <w:lang w:val="en-GB"/>
              </w:rPr>
              <w:t>0,670</w:t>
            </w:r>
          </w:p>
        </w:tc>
        <w:tc>
          <w:tcPr>
            <w:tcW w:w="897" w:type="dxa"/>
            <w:noWrap/>
            <w:vAlign w:val="bottom"/>
            <w:hideMark/>
          </w:tcPr>
          <w:p w14:paraId="3EA7B7E1" w14:textId="47932CC8" w:rsidR="00FE7A56" w:rsidRPr="004E10F3" w:rsidRDefault="00FE7A56" w:rsidP="00847269">
            <w:pPr>
              <w:jc w:val="right"/>
              <w:rPr>
                <w:rFonts w:ascii="Calibri" w:hAnsi="Calibri"/>
                <w:color w:val="000000"/>
              </w:rPr>
            </w:pPr>
            <w:r>
              <w:rPr>
                <w:rFonts w:ascii="Calibri" w:hAnsi="Calibri"/>
                <w:color w:val="000000"/>
              </w:rPr>
              <w:t>134</w:t>
            </w:r>
            <w:r w:rsidR="00847269">
              <w:rPr>
                <w:rFonts w:ascii="Calibri" w:hAnsi="Calibri"/>
                <w:color w:val="000000"/>
              </w:rPr>
              <w:t>,</w:t>
            </w:r>
            <w:r>
              <w:rPr>
                <w:rFonts w:ascii="Calibri" w:hAnsi="Calibri"/>
                <w:color w:val="000000"/>
              </w:rPr>
              <w:t>7</w:t>
            </w:r>
          </w:p>
        </w:tc>
        <w:tc>
          <w:tcPr>
            <w:tcW w:w="1229" w:type="dxa"/>
            <w:noWrap/>
            <w:vAlign w:val="bottom"/>
            <w:hideMark/>
          </w:tcPr>
          <w:p w14:paraId="434609E1" w14:textId="77777777" w:rsidR="00FE7A56" w:rsidRPr="00841977" w:rsidRDefault="00FE7A56" w:rsidP="00E64253">
            <w:pPr>
              <w:jc w:val="right"/>
              <w:rPr>
                <w:rFonts w:ascii="Calibri" w:hAnsi="Calibri"/>
                <w:b/>
                <w:sz w:val="18"/>
                <w:szCs w:val="18"/>
                <w:lang w:val="en-GB"/>
              </w:rPr>
            </w:pPr>
            <w:r>
              <w:rPr>
                <w:rFonts w:ascii="Calibri" w:hAnsi="Calibri"/>
                <w:b/>
                <w:sz w:val="18"/>
                <w:szCs w:val="18"/>
                <w:lang w:val="en-GB"/>
              </w:rPr>
              <w:t>1,000</w:t>
            </w:r>
          </w:p>
        </w:tc>
      </w:tr>
      <w:tr w:rsidR="00FE7A56" w:rsidRPr="002A729A" w14:paraId="0978B61E" w14:textId="77777777" w:rsidTr="00E64253">
        <w:trPr>
          <w:trHeight w:val="300"/>
        </w:trPr>
        <w:tc>
          <w:tcPr>
            <w:tcW w:w="3227" w:type="dxa"/>
            <w:vMerge/>
            <w:shd w:val="clear" w:color="auto" w:fill="FFFFFF" w:themeFill="background1"/>
            <w:noWrap/>
            <w:hideMark/>
          </w:tcPr>
          <w:p w14:paraId="23A2CD04" w14:textId="77777777" w:rsidR="00FE7A56" w:rsidRPr="00841977" w:rsidRDefault="00FE7A56" w:rsidP="00E64253">
            <w:pPr>
              <w:rPr>
                <w:b/>
                <w:sz w:val="18"/>
                <w:szCs w:val="18"/>
                <w:lang w:val="en-GB"/>
              </w:rPr>
            </w:pPr>
          </w:p>
        </w:tc>
        <w:tc>
          <w:tcPr>
            <w:tcW w:w="10631" w:type="dxa"/>
            <w:gridSpan w:val="10"/>
            <w:noWrap/>
            <w:vAlign w:val="bottom"/>
            <w:hideMark/>
          </w:tcPr>
          <w:p w14:paraId="379FD344" w14:textId="77777777" w:rsidR="00FE7A56" w:rsidRPr="00C851D8" w:rsidRDefault="00FE7A56" w:rsidP="00E64253">
            <w:pPr>
              <w:jc w:val="center"/>
              <w:rPr>
                <w:rFonts w:ascii="Calibri" w:hAnsi="Calibri"/>
                <w:b/>
                <w:sz w:val="18"/>
                <w:szCs w:val="18"/>
                <w:lang w:val="en-GB"/>
              </w:rPr>
            </w:pPr>
            <w:r w:rsidRPr="00C851D8">
              <w:rPr>
                <w:rFonts w:ascii="Calibri" w:hAnsi="Calibri"/>
                <w:b/>
                <w:sz w:val="18"/>
                <w:szCs w:val="18"/>
                <w:lang w:val="en-GB"/>
              </w:rPr>
              <w:t>Reference (g/L): M&lt;18y: 130-160, M&gt;18y: 129-173, F&lt;18y: 120-160, F&gt;18y: 118-148</w:t>
            </w:r>
          </w:p>
        </w:tc>
      </w:tr>
      <w:tr w:rsidR="00FE7A56" w:rsidRPr="00C851D8" w14:paraId="2944BD0C" w14:textId="77777777" w:rsidTr="006A7048">
        <w:trPr>
          <w:trHeight w:val="300"/>
        </w:trPr>
        <w:tc>
          <w:tcPr>
            <w:tcW w:w="3227" w:type="dxa"/>
            <w:vMerge w:val="restart"/>
            <w:shd w:val="clear" w:color="auto" w:fill="FFFFFF" w:themeFill="background1"/>
            <w:noWrap/>
            <w:hideMark/>
          </w:tcPr>
          <w:p w14:paraId="76EF4B47" w14:textId="77777777" w:rsidR="00FE7A56" w:rsidRPr="00FD0654" w:rsidRDefault="00FE7A56" w:rsidP="00E64253">
            <w:pPr>
              <w:rPr>
                <w:sz w:val="18"/>
                <w:szCs w:val="18"/>
                <w:lang w:val="en-GB"/>
              </w:rPr>
            </w:pPr>
            <w:r w:rsidRPr="00FD0654">
              <w:rPr>
                <w:b/>
                <w:sz w:val="18"/>
                <w:szCs w:val="18"/>
                <w:lang w:val="en-GB"/>
              </w:rPr>
              <w:t>Hematocrit</w:t>
            </w:r>
          </w:p>
          <w:p w14:paraId="5527CD57" w14:textId="77777777" w:rsidR="00FE7A56" w:rsidRPr="00FD0654" w:rsidRDefault="00FE7A56" w:rsidP="00E64253">
            <w:pPr>
              <w:rPr>
                <w:sz w:val="18"/>
                <w:szCs w:val="18"/>
                <w:lang w:val="en-GB"/>
              </w:rPr>
            </w:pPr>
            <w:r w:rsidRPr="00C851D8">
              <w:rPr>
                <w:sz w:val="16"/>
                <w:szCs w:val="16"/>
                <w:lang w:val="en-GB"/>
              </w:rPr>
              <w:t>DC impendance (Sysmex XE-5000)</w:t>
            </w:r>
          </w:p>
        </w:tc>
        <w:tc>
          <w:tcPr>
            <w:tcW w:w="1044" w:type="dxa"/>
            <w:noWrap/>
            <w:vAlign w:val="bottom"/>
            <w:hideMark/>
          </w:tcPr>
          <w:p w14:paraId="72FD67D5" w14:textId="407C08B0" w:rsidR="00FE7A56" w:rsidRDefault="0050754B" w:rsidP="0050754B">
            <w:pPr>
              <w:jc w:val="right"/>
              <w:rPr>
                <w:rFonts w:ascii="Calibri" w:hAnsi="Calibri"/>
                <w:color w:val="000000"/>
              </w:rPr>
            </w:pPr>
            <w:r>
              <w:rPr>
                <w:rFonts w:ascii="Calibri" w:hAnsi="Calibri"/>
                <w:color w:val="000000"/>
              </w:rPr>
              <w:t>0,</w:t>
            </w:r>
            <w:r w:rsidR="00FE7A56">
              <w:rPr>
                <w:rFonts w:ascii="Calibri" w:hAnsi="Calibri"/>
                <w:color w:val="000000"/>
              </w:rPr>
              <w:t>43</w:t>
            </w:r>
            <w:r>
              <w:rPr>
                <w:rFonts w:ascii="Calibri" w:hAnsi="Calibri"/>
                <w:color w:val="000000"/>
              </w:rPr>
              <w:t>8</w:t>
            </w:r>
          </w:p>
        </w:tc>
        <w:tc>
          <w:tcPr>
            <w:tcW w:w="1045" w:type="dxa"/>
            <w:noWrap/>
            <w:vAlign w:val="bottom"/>
            <w:hideMark/>
          </w:tcPr>
          <w:p w14:paraId="7E853F6D" w14:textId="0270D290" w:rsidR="00FE7A56" w:rsidRDefault="0050754B" w:rsidP="0050754B">
            <w:pPr>
              <w:jc w:val="right"/>
              <w:rPr>
                <w:rFonts w:ascii="Calibri" w:hAnsi="Calibri"/>
                <w:color w:val="000000"/>
              </w:rPr>
            </w:pPr>
            <w:r>
              <w:rPr>
                <w:rFonts w:ascii="Calibri" w:hAnsi="Calibri"/>
                <w:color w:val="000000"/>
              </w:rPr>
              <w:t>0,</w:t>
            </w:r>
            <w:r w:rsidR="00FE7A56">
              <w:rPr>
                <w:rFonts w:ascii="Calibri" w:hAnsi="Calibri"/>
                <w:color w:val="000000"/>
              </w:rPr>
              <w:t>40</w:t>
            </w:r>
            <w:r>
              <w:rPr>
                <w:rFonts w:ascii="Calibri" w:hAnsi="Calibri"/>
                <w:color w:val="000000"/>
              </w:rPr>
              <w:t>8</w:t>
            </w:r>
          </w:p>
        </w:tc>
        <w:tc>
          <w:tcPr>
            <w:tcW w:w="1045" w:type="dxa"/>
            <w:noWrap/>
            <w:vAlign w:val="bottom"/>
            <w:hideMark/>
          </w:tcPr>
          <w:p w14:paraId="58DF2BE9" w14:textId="77777777" w:rsidR="00FE7A56" w:rsidRPr="000134B6" w:rsidRDefault="00FE7A56" w:rsidP="00E64253">
            <w:pPr>
              <w:jc w:val="right"/>
              <w:rPr>
                <w:rFonts w:ascii="Calibri" w:hAnsi="Calibri"/>
                <w:b/>
                <w:sz w:val="18"/>
                <w:szCs w:val="18"/>
              </w:rPr>
            </w:pPr>
            <w:r w:rsidRPr="000134B6">
              <w:rPr>
                <w:rFonts w:ascii="Calibri" w:hAnsi="Calibri"/>
                <w:b/>
                <w:sz w:val="18"/>
                <w:szCs w:val="18"/>
              </w:rPr>
              <w:t>&lt;0,001</w:t>
            </w:r>
          </w:p>
        </w:tc>
        <w:tc>
          <w:tcPr>
            <w:tcW w:w="1044" w:type="dxa"/>
            <w:noWrap/>
            <w:vAlign w:val="bottom"/>
            <w:hideMark/>
          </w:tcPr>
          <w:p w14:paraId="04A47878" w14:textId="218D8EB8" w:rsidR="00FE7A56" w:rsidRPr="00C851D8" w:rsidRDefault="0050754B" w:rsidP="0050754B">
            <w:pPr>
              <w:jc w:val="right"/>
              <w:rPr>
                <w:rFonts w:ascii="Calibri" w:hAnsi="Calibri"/>
                <w:sz w:val="18"/>
                <w:szCs w:val="18"/>
              </w:rPr>
            </w:pPr>
            <w:r>
              <w:rPr>
                <w:rFonts w:ascii="Calibri" w:hAnsi="Calibri"/>
                <w:color w:val="000000"/>
              </w:rPr>
              <w:t>0,</w:t>
            </w:r>
            <w:r w:rsidR="00FE7A56">
              <w:rPr>
                <w:rFonts w:ascii="Calibri" w:hAnsi="Calibri"/>
                <w:color w:val="000000"/>
              </w:rPr>
              <w:t>395</w:t>
            </w:r>
          </w:p>
        </w:tc>
        <w:tc>
          <w:tcPr>
            <w:tcW w:w="1045" w:type="dxa"/>
            <w:noWrap/>
            <w:vAlign w:val="bottom"/>
            <w:hideMark/>
          </w:tcPr>
          <w:p w14:paraId="34AE3982" w14:textId="77777777" w:rsidR="00FE7A56" w:rsidRPr="00C851D8" w:rsidRDefault="00FE7A56" w:rsidP="00E64253">
            <w:pPr>
              <w:jc w:val="right"/>
              <w:rPr>
                <w:rFonts w:ascii="Calibri" w:hAnsi="Calibri"/>
                <w:b/>
                <w:sz w:val="18"/>
                <w:szCs w:val="18"/>
              </w:rPr>
            </w:pPr>
            <w:r>
              <w:rPr>
                <w:rFonts w:ascii="Calibri" w:hAnsi="Calibri"/>
                <w:b/>
                <w:sz w:val="18"/>
                <w:szCs w:val="18"/>
              </w:rPr>
              <w:t>0,002</w:t>
            </w:r>
          </w:p>
        </w:tc>
        <w:tc>
          <w:tcPr>
            <w:tcW w:w="1045" w:type="dxa"/>
            <w:noWrap/>
            <w:vAlign w:val="bottom"/>
            <w:hideMark/>
          </w:tcPr>
          <w:p w14:paraId="1AE1069F" w14:textId="34A8FC46" w:rsidR="00FE7A56" w:rsidRDefault="0050754B" w:rsidP="0050754B">
            <w:pPr>
              <w:jc w:val="right"/>
              <w:rPr>
                <w:rFonts w:ascii="Calibri" w:hAnsi="Calibri"/>
                <w:color w:val="000000"/>
              </w:rPr>
            </w:pPr>
            <w:r>
              <w:rPr>
                <w:rFonts w:ascii="Calibri" w:hAnsi="Calibri"/>
                <w:color w:val="000000"/>
              </w:rPr>
              <w:t>0,</w:t>
            </w:r>
            <w:r w:rsidR="00FE7A56">
              <w:rPr>
                <w:rFonts w:ascii="Calibri" w:hAnsi="Calibri"/>
                <w:color w:val="000000"/>
              </w:rPr>
              <w:t>402</w:t>
            </w:r>
          </w:p>
        </w:tc>
        <w:tc>
          <w:tcPr>
            <w:tcW w:w="1044" w:type="dxa"/>
            <w:noWrap/>
            <w:vAlign w:val="bottom"/>
            <w:hideMark/>
          </w:tcPr>
          <w:p w14:paraId="45C7C5CC" w14:textId="6F11527E" w:rsidR="00FE7A56" w:rsidRDefault="0050754B" w:rsidP="0050754B">
            <w:pPr>
              <w:jc w:val="right"/>
              <w:rPr>
                <w:rFonts w:ascii="Calibri" w:hAnsi="Calibri"/>
                <w:color w:val="000000"/>
              </w:rPr>
            </w:pPr>
            <w:r>
              <w:rPr>
                <w:rFonts w:ascii="Calibri" w:hAnsi="Calibri"/>
                <w:color w:val="000000"/>
              </w:rPr>
              <w:t>0,</w:t>
            </w:r>
            <w:r w:rsidR="00FE7A56">
              <w:rPr>
                <w:rFonts w:ascii="Calibri" w:hAnsi="Calibri"/>
                <w:color w:val="000000"/>
              </w:rPr>
              <w:t>40</w:t>
            </w:r>
            <w:r>
              <w:rPr>
                <w:rFonts w:ascii="Calibri" w:hAnsi="Calibri"/>
                <w:color w:val="000000"/>
              </w:rPr>
              <w:t>1</w:t>
            </w:r>
          </w:p>
        </w:tc>
        <w:tc>
          <w:tcPr>
            <w:tcW w:w="1193" w:type="dxa"/>
            <w:noWrap/>
            <w:vAlign w:val="bottom"/>
            <w:hideMark/>
          </w:tcPr>
          <w:p w14:paraId="1BFBFA41" w14:textId="77777777" w:rsidR="00FE7A56" w:rsidRPr="00C851D8" w:rsidRDefault="00FE7A56" w:rsidP="00E64253">
            <w:pPr>
              <w:jc w:val="right"/>
              <w:rPr>
                <w:rFonts w:ascii="Calibri" w:hAnsi="Calibri"/>
                <w:b/>
                <w:sz w:val="18"/>
                <w:szCs w:val="18"/>
              </w:rPr>
            </w:pPr>
            <w:r>
              <w:rPr>
                <w:rFonts w:ascii="Calibri" w:hAnsi="Calibri"/>
                <w:b/>
                <w:sz w:val="18"/>
                <w:szCs w:val="18"/>
              </w:rPr>
              <w:t>0,359</w:t>
            </w:r>
          </w:p>
        </w:tc>
        <w:tc>
          <w:tcPr>
            <w:tcW w:w="897" w:type="dxa"/>
            <w:noWrap/>
            <w:vAlign w:val="bottom"/>
            <w:hideMark/>
          </w:tcPr>
          <w:p w14:paraId="2CBC4C9B" w14:textId="475F6ACE" w:rsidR="00FE7A56" w:rsidRPr="004E10F3" w:rsidRDefault="0050754B" w:rsidP="0050754B">
            <w:pPr>
              <w:jc w:val="right"/>
              <w:rPr>
                <w:rFonts w:ascii="Calibri" w:hAnsi="Calibri"/>
                <w:color w:val="000000"/>
              </w:rPr>
            </w:pPr>
            <w:r>
              <w:rPr>
                <w:rFonts w:ascii="Calibri" w:hAnsi="Calibri"/>
                <w:color w:val="000000"/>
              </w:rPr>
              <w:t>0,</w:t>
            </w:r>
            <w:r w:rsidR="00FE7A56">
              <w:rPr>
                <w:rFonts w:ascii="Calibri" w:hAnsi="Calibri"/>
                <w:color w:val="000000"/>
              </w:rPr>
              <w:t>390</w:t>
            </w:r>
          </w:p>
        </w:tc>
        <w:tc>
          <w:tcPr>
            <w:tcW w:w="1229" w:type="dxa"/>
            <w:noWrap/>
            <w:vAlign w:val="bottom"/>
            <w:hideMark/>
          </w:tcPr>
          <w:p w14:paraId="4ED3AA9A" w14:textId="77777777" w:rsidR="00FE7A56" w:rsidRPr="00C851D8" w:rsidRDefault="00FE7A56" w:rsidP="00E64253">
            <w:pPr>
              <w:jc w:val="right"/>
              <w:rPr>
                <w:rFonts w:ascii="Calibri" w:hAnsi="Calibri"/>
                <w:b/>
                <w:sz w:val="18"/>
                <w:szCs w:val="18"/>
              </w:rPr>
            </w:pPr>
            <w:r>
              <w:rPr>
                <w:rFonts w:ascii="Calibri" w:hAnsi="Calibri"/>
                <w:b/>
                <w:sz w:val="18"/>
                <w:szCs w:val="18"/>
              </w:rPr>
              <w:t>0,735</w:t>
            </w:r>
          </w:p>
        </w:tc>
      </w:tr>
      <w:tr w:rsidR="00FE7A56" w:rsidRPr="002A729A" w14:paraId="6448266A" w14:textId="77777777" w:rsidTr="00E64253">
        <w:trPr>
          <w:trHeight w:val="300"/>
        </w:trPr>
        <w:tc>
          <w:tcPr>
            <w:tcW w:w="3227" w:type="dxa"/>
            <w:vMerge/>
            <w:shd w:val="clear" w:color="auto" w:fill="FFFFFF" w:themeFill="background1"/>
            <w:noWrap/>
            <w:hideMark/>
          </w:tcPr>
          <w:p w14:paraId="4D154CCD" w14:textId="77777777" w:rsidR="00FE7A56" w:rsidRPr="00C851D8" w:rsidRDefault="00FE7A56" w:rsidP="00E64253">
            <w:pPr>
              <w:rPr>
                <w:b/>
                <w:sz w:val="18"/>
                <w:szCs w:val="18"/>
              </w:rPr>
            </w:pPr>
          </w:p>
        </w:tc>
        <w:tc>
          <w:tcPr>
            <w:tcW w:w="10631" w:type="dxa"/>
            <w:gridSpan w:val="10"/>
            <w:noWrap/>
            <w:vAlign w:val="bottom"/>
            <w:hideMark/>
          </w:tcPr>
          <w:p w14:paraId="45302D56" w14:textId="77777777" w:rsidR="00FE7A56" w:rsidRPr="00C851D8" w:rsidRDefault="00FE7A56" w:rsidP="00E64253">
            <w:pPr>
              <w:jc w:val="center"/>
              <w:rPr>
                <w:rFonts w:ascii="Calibri" w:hAnsi="Calibri"/>
                <w:b/>
                <w:sz w:val="18"/>
                <w:szCs w:val="18"/>
                <w:lang w:val="en-GB"/>
              </w:rPr>
            </w:pPr>
            <w:r w:rsidRPr="00C851D8">
              <w:rPr>
                <w:rFonts w:ascii="Calibri" w:hAnsi="Calibri"/>
                <w:b/>
                <w:sz w:val="18"/>
                <w:szCs w:val="18"/>
                <w:lang w:val="en-GB"/>
              </w:rPr>
              <w:t>Reference (proportion of 1,0): M&lt;18y: 0.37-0.49, M&gt;18y: 0.39-0.497, F&lt;18y: 0.36-0.46, F&gt;18y: 0.358-0.437</w:t>
            </w:r>
          </w:p>
        </w:tc>
      </w:tr>
      <w:tr w:rsidR="00401C8E" w:rsidRPr="00C851D8" w14:paraId="0373FFBB" w14:textId="77777777" w:rsidTr="006A7048">
        <w:trPr>
          <w:trHeight w:val="300"/>
        </w:trPr>
        <w:tc>
          <w:tcPr>
            <w:tcW w:w="3227" w:type="dxa"/>
            <w:vMerge w:val="restart"/>
            <w:shd w:val="clear" w:color="auto" w:fill="FFFFFF" w:themeFill="background1"/>
            <w:noWrap/>
            <w:hideMark/>
          </w:tcPr>
          <w:p w14:paraId="3EF6991C" w14:textId="7EA8F25B" w:rsidR="00401C8E" w:rsidRPr="00FD0654" w:rsidRDefault="00401C8E" w:rsidP="00401C8E">
            <w:pPr>
              <w:rPr>
                <w:sz w:val="18"/>
                <w:szCs w:val="18"/>
                <w:lang w:val="en-GB"/>
              </w:rPr>
            </w:pPr>
            <w:r w:rsidRPr="00FD0654">
              <w:rPr>
                <w:b/>
                <w:sz w:val="18"/>
                <w:szCs w:val="18"/>
                <w:lang w:val="en-GB"/>
              </w:rPr>
              <w:t>Creatinine</w:t>
            </w:r>
            <w:r w:rsidR="003557E0">
              <w:rPr>
                <w:b/>
                <w:sz w:val="18"/>
                <w:szCs w:val="18"/>
                <w:lang w:val="en-GB"/>
              </w:rPr>
              <w:t xml:space="preserve"> (µmol/L)</w:t>
            </w:r>
          </w:p>
          <w:p w14:paraId="155C9088" w14:textId="77777777" w:rsidR="00401C8E" w:rsidRPr="00C851D8" w:rsidRDefault="00401C8E" w:rsidP="00401C8E">
            <w:pPr>
              <w:rPr>
                <w:sz w:val="18"/>
                <w:szCs w:val="18"/>
                <w:lang w:val="en-GB"/>
              </w:rPr>
            </w:pPr>
            <w:r w:rsidRPr="00C851D8">
              <w:rPr>
                <w:sz w:val="16"/>
                <w:szCs w:val="16"/>
                <w:lang w:val="en-GB"/>
              </w:rPr>
              <w:t>Rate-blanked Jaffé kinetic assay (Roche Diagnostics c701 (a+b))</w:t>
            </w:r>
          </w:p>
        </w:tc>
        <w:tc>
          <w:tcPr>
            <w:tcW w:w="1044" w:type="dxa"/>
            <w:noWrap/>
            <w:vAlign w:val="bottom"/>
            <w:hideMark/>
          </w:tcPr>
          <w:p w14:paraId="1B215E37" w14:textId="0E249CDD" w:rsidR="00401C8E" w:rsidRDefault="00401C8E" w:rsidP="00401C8E">
            <w:pPr>
              <w:jc w:val="right"/>
              <w:rPr>
                <w:rFonts w:ascii="Calibri" w:hAnsi="Calibri"/>
                <w:color w:val="000000"/>
              </w:rPr>
            </w:pPr>
            <w:r>
              <w:rPr>
                <w:rFonts w:ascii="Calibri" w:hAnsi="Calibri"/>
                <w:color w:val="000000"/>
              </w:rPr>
              <w:t>73,779</w:t>
            </w:r>
          </w:p>
        </w:tc>
        <w:tc>
          <w:tcPr>
            <w:tcW w:w="1045" w:type="dxa"/>
            <w:noWrap/>
            <w:vAlign w:val="bottom"/>
            <w:hideMark/>
          </w:tcPr>
          <w:p w14:paraId="6A282F48" w14:textId="4F1E23BC" w:rsidR="00401C8E" w:rsidRDefault="00401C8E" w:rsidP="00401C8E">
            <w:pPr>
              <w:jc w:val="right"/>
              <w:rPr>
                <w:rFonts w:ascii="Calibri" w:hAnsi="Calibri"/>
                <w:color w:val="000000"/>
              </w:rPr>
            </w:pPr>
            <w:r>
              <w:rPr>
                <w:rFonts w:ascii="Calibri" w:hAnsi="Calibri"/>
                <w:color w:val="000000"/>
              </w:rPr>
              <w:t>70,861</w:t>
            </w:r>
          </w:p>
        </w:tc>
        <w:tc>
          <w:tcPr>
            <w:tcW w:w="1045" w:type="dxa"/>
            <w:noWrap/>
            <w:vAlign w:val="bottom"/>
            <w:hideMark/>
          </w:tcPr>
          <w:p w14:paraId="22AACC0D" w14:textId="77777777" w:rsidR="00401C8E" w:rsidRPr="00C851D8" w:rsidRDefault="00401C8E" w:rsidP="00401C8E">
            <w:pPr>
              <w:jc w:val="right"/>
              <w:rPr>
                <w:rFonts w:ascii="Calibri" w:hAnsi="Calibri"/>
                <w:b/>
                <w:sz w:val="18"/>
                <w:szCs w:val="18"/>
              </w:rPr>
            </w:pPr>
            <w:r>
              <w:rPr>
                <w:rFonts w:ascii="Calibri" w:hAnsi="Calibri"/>
                <w:b/>
                <w:sz w:val="18"/>
                <w:szCs w:val="18"/>
              </w:rPr>
              <w:t>0,145</w:t>
            </w:r>
          </w:p>
        </w:tc>
        <w:tc>
          <w:tcPr>
            <w:tcW w:w="1044" w:type="dxa"/>
            <w:noWrap/>
            <w:vAlign w:val="bottom"/>
            <w:hideMark/>
          </w:tcPr>
          <w:p w14:paraId="0D62E1F9" w14:textId="34A5B289" w:rsidR="00401C8E" w:rsidRPr="004E10F3" w:rsidRDefault="00401C8E" w:rsidP="00401C8E">
            <w:pPr>
              <w:jc w:val="right"/>
              <w:rPr>
                <w:rFonts w:ascii="Calibri" w:hAnsi="Calibri"/>
                <w:color w:val="000000"/>
              </w:rPr>
            </w:pPr>
            <w:r>
              <w:rPr>
                <w:rFonts w:ascii="Calibri" w:hAnsi="Calibri"/>
                <w:color w:val="000000"/>
              </w:rPr>
              <w:t>66,698</w:t>
            </w:r>
          </w:p>
        </w:tc>
        <w:tc>
          <w:tcPr>
            <w:tcW w:w="1045" w:type="dxa"/>
            <w:noWrap/>
            <w:vAlign w:val="bottom"/>
            <w:hideMark/>
          </w:tcPr>
          <w:p w14:paraId="2583B95E" w14:textId="77777777" w:rsidR="00401C8E" w:rsidRPr="00C851D8" w:rsidRDefault="00401C8E" w:rsidP="00401C8E">
            <w:pPr>
              <w:jc w:val="right"/>
              <w:rPr>
                <w:rFonts w:ascii="Calibri" w:hAnsi="Calibri"/>
                <w:b/>
                <w:sz w:val="18"/>
                <w:szCs w:val="18"/>
              </w:rPr>
            </w:pPr>
            <w:r>
              <w:rPr>
                <w:rFonts w:ascii="Calibri" w:hAnsi="Calibri"/>
                <w:b/>
                <w:sz w:val="18"/>
                <w:szCs w:val="18"/>
              </w:rPr>
              <w:t>0,709</w:t>
            </w:r>
          </w:p>
        </w:tc>
        <w:tc>
          <w:tcPr>
            <w:tcW w:w="1045" w:type="dxa"/>
            <w:noWrap/>
            <w:vAlign w:val="bottom"/>
            <w:hideMark/>
          </w:tcPr>
          <w:p w14:paraId="496B0F8F" w14:textId="669B7717" w:rsidR="00401C8E" w:rsidRDefault="00401C8E" w:rsidP="00401C8E">
            <w:pPr>
              <w:jc w:val="right"/>
              <w:rPr>
                <w:rFonts w:ascii="Calibri" w:hAnsi="Calibri"/>
                <w:color w:val="000000"/>
              </w:rPr>
            </w:pPr>
            <w:r>
              <w:rPr>
                <w:rFonts w:ascii="Calibri" w:hAnsi="Calibri"/>
                <w:color w:val="000000"/>
              </w:rPr>
              <w:t>69,712</w:t>
            </w:r>
          </w:p>
        </w:tc>
        <w:tc>
          <w:tcPr>
            <w:tcW w:w="1044" w:type="dxa"/>
            <w:noWrap/>
            <w:vAlign w:val="bottom"/>
            <w:hideMark/>
          </w:tcPr>
          <w:p w14:paraId="2B40B492" w14:textId="7D979F49" w:rsidR="00401C8E" w:rsidRDefault="00401C8E" w:rsidP="00401C8E">
            <w:pPr>
              <w:jc w:val="right"/>
              <w:rPr>
                <w:rFonts w:ascii="Calibri" w:hAnsi="Calibri"/>
                <w:color w:val="000000"/>
              </w:rPr>
            </w:pPr>
            <w:r>
              <w:rPr>
                <w:rFonts w:ascii="Calibri" w:hAnsi="Calibri"/>
                <w:color w:val="000000"/>
              </w:rPr>
              <w:t>69,111</w:t>
            </w:r>
          </w:p>
        </w:tc>
        <w:tc>
          <w:tcPr>
            <w:tcW w:w="1193" w:type="dxa"/>
            <w:noWrap/>
            <w:vAlign w:val="bottom"/>
            <w:hideMark/>
          </w:tcPr>
          <w:p w14:paraId="6C5C13C9" w14:textId="77777777" w:rsidR="00401C8E" w:rsidRPr="00C851D8" w:rsidRDefault="00401C8E" w:rsidP="00401C8E">
            <w:pPr>
              <w:jc w:val="right"/>
              <w:rPr>
                <w:rFonts w:ascii="Calibri" w:hAnsi="Calibri"/>
                <w:b/>
                <w:sz w:val="18"/>
                <w:szCs w:val="18"/>
              </w:rPr>
            </w:pPr>
            <w:r>
              <w:rPr>
                <w:rFonts w:ascii="Calibri" w:hAnsi="Calibri"/>
                <w:b/>
                <w:sz w:val="18"/>
                <w:szCs w:val="18"/>
              </w:rPr>
              <w:t>0,355</w:t>
            </w:r>
          </w:p>
        </w:tc>
        <w:tc>
          <w:tcPr>
            <w:tcW w:w="897" w:type="dxa"/>
            <w:noWrap/>
            <w:vAlign w:val="bottom"/>
            <w:hideMark/>
          </w:tcPr>
          <w:p w14:paraId="2370028D" w14:textId="73330C66" w:rsidR="00401C8E" w:rsidRPr="004E10F3" w:rsidRDefault="00401C8E" w:rsidP="00401C8E">
            <w:pPr>
              <w:jc w:val="right"/>
              <w:rPr>
                <w:rFonts w:ascii="Calibri" w:hAnsi="Calibri"/>
                <w:color w:val="000000"/>
              </w:rPr>
            </w:pPr>
            <w:r>
              <w:rPr>
                <w:rFonts w:ascii="Calibri" w:hAnsi="Calibri"/>
                <w:color w:val="000000"/>
              </w:rPr>
              <w:t>70,914</w:t>
            </w:r>
          </w:p>
        </w:tc>
        <w:tc>
          <w:tcPr>
            <w:tcW w:w="1229" w:type="dxa"/>
            <w:noWrap/>
            <w:vAlign w:val="bottom"/>
            <w:hideMark/>
          </w:tcPr>
          <w:p w14:paraId="1B1EB0DE" w14:textId="77777777" w:rsidR="00401C8E" w:rsidRPr="00C851D8" w:rsidRDefault="00401C8E" w:rsidP="00401C8E">
            <w:pPr>
              <w:jc w:val="right"/>
              <w:rPr>
                <w:rFonts w:ascii="Calibri" w:hAnsi="Calibri"/>
                <w:b/>
                <w:sz w:val="18"/>
                <w:szCs w:val="18"/>
              </w:rPr>
            </w:pPr>
            <w:r>
              <w:rPr>
                <w:rFonts w:ascii="Calibri" w:hAnsi="Calibri"/>
                <w:b/>
                <w:sz w:val="18"/>
                <w:szCs w:val="18"/>
              </w:rPr>
              <w:t>0,919</w:t>
            </w:r>
          </w:p>
        </w:tc>
      </w:tr>
      <w:tr w:rsidR="00FE7A56" w:rsidRPr="002A729A" w14:paraId="56107418" w14:textId="77777777" w:rsidTr="00E64253">
        <w:trPr>
          <w:trHeight w:val="300"/>
        </w:trPr>
        <w:tc>
          <w:tcPr>
            <w:tcW w:w="3227" w:type="dxa"/>
            <w:vMerge/>
            <w:shd w:val="clear" w:color="auto" w:fill="FFFFFF" w:themeFill="background1"/>
            <w:noWrap/>
            <w:hideMark/>
          </w:tcPr>
          <w:p w14:paraId="14265C90" w14:textId="77777777" w:rsidR="00FE7A56" w:rsidRPr="00C851D8" w:rsidRDefault="00FE7A56" w:rsidP="00E64253">
            <w:pPr>
              <w:rPr>
                <w:b/>
                <w:sz w:val="18"/>
                <w:szCs w:val="18"/>
              </w:rPr>
            </w:pPr>
          </w:p>
        </w:tc>
        <w:tc>
          <w:tcPr>
            <w:tcW w:w="10631" w:type="dxa"/>
            <w:gridSpan w:val="10"/>
            <w:noWrap/>
            <w:vAlign w:val="bottom"/>
            <w:hideMark/>
          </w:tcPr>
          <w:p w14:paraId="1EB9B98F" w14:textId="77777777" w:rsidR="00FE7A56" w:rsidRPr="00C851D8" w:rsidRDefault="00FE7A56" w:rsidP="00E64253">
            <w:pPr>
              <w:jc w:val="center"/>
              <w:rPr>
                <w:rFonts w:ascii="Calibri" w:hAnsi="Calibri"/>
                <w:b/>
                <w:sz w:val="18"/>
                <w:szCs w:val="18"/>
                <w:lang w:val="en-GB"/>
              </w:rPr>
            </w:pPr>
            <w:r w:rsidRPr="00C851D8">
              <w:rPr>
                <w:rFonts w:ascii="Calibri" w:hAnsi="Calibri"/>
                <w:b/>
                <w:sz w:val="18"/>
                <w:szCs w:val="18"/>
                <w:lang w:val="en-GB"/>
              </w:rPr>
              <w:t>Reference (µmol/L): M/F</w:t>
            </w:r>
            <w:r>
              <w:rPr>
                <w:rFonts w:ascii="Calibri" w:hAnsi="Calibri"/>
                <w:b/>
                <w:sz w:val="18"/>
                <w:szCs w:val="18"/>
                <w:lang w:val="en-GB"/>
              </w:rPr>
              <w:t>:</w:t>
            </w:r>
            <w:r w:rsidRPr="00C851D8">
              <w:rPr>
                <w:rFonts w:ascii="Calibri" w:hAnsi="Calibri"/>
                <w:b/>
                <w:sz w:val="18"/>
                <w:szCs w:val="18"/>
                <w:lang w:val="en-GB"/>
              </w:rPr>
              <w:t xml:space="preserve"> 11-13y: 46.852-69.836, M/F</w:t>
            </w:r>
            <w:r>
              <w:rPr>
                <w:rFonts w:ascii="Calibri" w:hAnsi="Calibri"/>
                <w:b/>
                <w:sz w:val="18"/>
                <w:szCs w:val="18"/>
                <w:lang w:val="en-GB"/>
              </w:rPr>
              <w:t>:</w:t>
            </w:r>
            <w:r w:rsidRPr="00C851D8">
              <w:rPr>
                <w:rFonts w:ascii="Calibri" w:hAnsi="Calibri"/>
                <w:b/>
                <w:sz w:val="18"/>
                <w:szCs w:val="18"/>
                <w:lang w:val="en-GB"/>
              </w:rPr>
              <w:t xml:space="preserve"> 13-15y: 50.388-76.908</w:t>
            </w:r>
            <w:r>
              <w:rPr>
                <w:rFonts w:ascii="Calibri" w:hAnsi="Calibri"/>
                <w:b/>
                <w:sz w:val="18"/>
                <w:szCs w:val="18"/>
                <w:lang w:val="en-GB"/>
              </w:rPr>
              <w:t>,</w:t>
            </w:r>
            <w:r w:rsidRPr="00C851D8">
              <w:rPr>
                <w:rFonts w:ascii="Calibri" w:hAnsi="Calibri"/>
                <w:b/>
                <w:sz w:val="18"/>
                <w:szCs w:val="18"/>
                <w:lang w:val="en-GB"/>
              </w:rPr>
              <w:t xml:space="preserve"> M&gt;15y: 63.648-103.428, F&gt;15y: 48.62-84.864</w:t>
            </w:r>
          </w:p>
        </w:tc>
      </w:tr>
      <w:tr w:rsidR="005C0F0F" w:rsidRPr="00C851D8" w14:paraId="2B41786D" w14:textId="77777777" w:rsidTr="006A7048">
        <w:trPr>
          <w:trHeight w:val="300"/>
        </w:trPr>
        <w:tc>
          <w:tcPr>
            <w:tcW w:w="3227" w:type="dxa"/>
            <w:vMerge w:val="restart"/>
            <w:shd w:val="clear" w:color="auto" w:fill="FFFFFF" w:themeFill="background1"/>
            <w:noWrap/>
            <w:hideMark/>
          </w:tcPr>
          <w:p w14:paraId="5042B20E" w14:textId="012AB4BA" w:rsidR="005C0F0F" w:rsidRPr="00C851D8" w:rsidRDefault="005C0F0F" w:rsidP="005C0F0F">
            <w:pPr>
              <w:rPr>
                <w:b/>
                <w:sz w:val="18"/>
                <w:szCs w:val="18"/>
                <w:lang w:val="en-GB"/>
              </w:rPr>
            </w:pPr>
            <w:r w:rsidRPr="00C851D8">
              <w:rPr>
                <w:b/>
                <w:sz w:val="18"/>
                <w:szCs w:val="18"/>
                <w:lang w:val="en-GB"/>
              </w:rPr>
              <w:t>Aspartate Amino Transferase</w:t>
            </w:r>
            <w:r w:rsidR="003557E0">
              <w:rPr>
                <w:b/>
                <w:sz w:val="18"/>
                <w:szCs w:val="18"/>
                <w:lang w:val="en-GB"/>
              </w:rPr>
              <w:t xml:space="preserve"> (µkat/L)</w:t>
            </w:r>
          </w:p>
          <w:p w14:paraId="29B5AE29" w14:textId="77777777" w:rsidR="005C0F0F" w:rsidRPr="00C851D8" w:rsidRDefault="005C0F0F" w:rsidP="005C0F0F">
            <w:pPr>
              <w:rPr>
                <w:b/>
                <w:sz w:val="18"/>
                <w:szCs w:val="18"/>
                <w:lang w:val="en-GB"/>
              </w:rPr>
            </w:pPr>
            <w:r w:rsidRPr="00C851D8">
              <w:rPr>
                <w:sz w:val="16"/>
                <w:szCs w:val="16"/>
                <w:lang w:val="en-GB"/>
              </w:rPr>
              <w:t>UV-kinetic (IFCC) method without pyridoxal phosphate (Roche Diagnostics Cobas c701)</w:t>
            </w:r>
          </w:p>
        </w:tc>
        <w:tc>
          <w:tcPr>
            <w:tcW w:w="1044" w:type="dxa"/>
            <w:noWrap/>
            <w:vAlign w:val="bottom"/>
            <w:hideMark/>
          </w:tcPr>
          <w:p w14:paraId="39E72406" w14:textId="07A27375" w:rsidR="005C0F0F" w:rsidRDefault="005C0F0F" w:rsidP="005C0F0F">
            <w:pPr>
              <w:jc w:val="right"/>
              <w:rPr>
                <w:rFonts w:ascii="Calibri" w:hAnsi="Calibri"/>
                <w:color w:val="000000"/>
              </w:rPr>
            </w:pPr>
            <w:r>
              <w:rPr>
                <w:rFonts w:ascii="Calibri" w:hAnsi="Calibri"/>
                <w:color w:val="000000"/>
              </w:rPr>
              <w:t>0,34</w:t>
            </w:r>
          </w:p>
        </w:tc>
        <w:tc>
          <w:tcPr>
            <w:tcW w:w="1045" w:type="dxa"/>
            <w:noWrap/>
            <w:vAlign w:val="bottom"/>
            <w:hideMark/>
          </w:tcPr>
          <w:p w14:paraId="735DDECE" w14:textId="2E1DD4F1" w:rsidR="005C0F0F" w:rsidRDefault="005C0F0F" w:rsidP="005C0F0F">
            <w:pPr>
              <w:jc w:val="right"/>
              <w:rPr>
                <w:rFonts w:ascii="Calibri" w:hAnsi="Calibri"/>
                <w:color w:val="000000"/>
              </w:rPr>
            </w:pPr>
            <w:r>
              <w:rPr>
                <w:rFonts w:ascii="Calibri" w:hAnsi="Calibri"/>
                <w:color w:val="000000"/>
              </w:rPr>
              <w:t>0,31</w:t>
            </w:r>
          </w:p>
        </w:tc>
        <w:tc>
          <w:tcPr>
            <w:tcW w:w="1045" w:type="dxa"/>
            <w:noWrap/>
            <w:vAlign w:val="bottom"/>
            <w:hideMark/>
          </w:tcPr>
          <w:p w14:paraId="733982DD" w14:textId="77777777" w:rsidR="005C0F0F" w:rsidRPr="00C851D8" w:rsidRDefault="005C0F0F" w:rsidP="005C0F0F">
            <w:pPr>
              <w:jc w:val="right"/>
              <w:rPr>
                <w:rFonts w:ascii="Calibri" w:hAnsi="Calibri"/>
                <w:b/>
                <w:sz w:val="18"/>
                <w:szCs w:val="18"/>
              </w:rPr>
            </w:pPr>
            <w:r>
              <w:rPr>
                <w:rFonts w:ascii="Calibri" w:hAnsi="Calibri"/>
                <w:b/>
                <w:sz w:val="18"/>
                <w:szCs w:val="18"/>
              </w:rPr>
              <w:t>0,175</w:t>
            </w:r>
          </w:p>
        </w:tc>
        <w:tc>
          <w:tcPr>
            <w:tcW w:w="1044" w:type="dxa"/>
            <w:noWrap/>
            <w:vAlign w:val="bottom"/>
            <w:hideMark/>
          </w:tcPr>
          <w:p w14:paraId="005E4636" w14:textId="2D6D17F4" w:rsidR="005C0F0F" w:rsidRPr="004E10F3" w:rsidRDefault="005C0F0F" w:rsidP="005C0F0F">
            <w:pPr>
              <w:jc w:val="right"/>
              <w:rPr>
                <w:rFonts w:ascii="Calibri" w:hAnsi="Calibri"/>
                <w:color w:val="000000"/>
              </w:rPr>
            </w:pPr>
            <w:r>
              <w:rPr>
                <w:rFonts w:ascii="Calibri" w:hAnsi="Calibri"/>
                <w:color w:val="000000"/>
              </w:rPr>
              <w:t>0,31</w:t>
            </w:r>
          </w:p>
        </w:tc>
        <w:tc>
          <w:tcPr>
            <w:tcW w:w="1045" w:type="dxa"/>
            <w:noWrap/>
            <w:vAlign w:val="bottom"/>
            <w:hideMark/>
          </w:tcPr>
          <w:p w14:paraId="3BB824B7" w14:textId="77777777" w:rsidR="005C0F0F" w:rsidRPr="00C851D8" w:rsidRDefault="005C0F0F" w:rsidP="005C0F0F">
            <w:pPr>
              <w:jc w:val="right"/>
              <w:rPr>
                <w:rFonts w:ascii="Calibri" w:hAnsi="Calibri"/>
                <w:b/>
                <w:sz w:val="18"/>
                <w:szCs w:val="18"/>
              </w:rPr>
            </w:pPr>
            <w:r>
              <w:rPr>
                <w:rFonts w:ascii="Calibri" w:hAnsi="Calibri"/>
                <w:b/>
                <w:sz w:val="18"/>
                <w:szCs w:val="18"/>
              </w:rPr>
              <w:t>0,498</w:t>
            </w:r>
          </w:p>
        </w:tc>
        <w:tc>
          <w:tcPr>
            <w:tcW w:w="1045" w:type="dxa"/>
            <w:noWrap/>
            <w:vAlign w:val="bottom"/>
            <w:hideMark/>
          </w:tcPr>
          <w:p w14:paraId="22654292" w14:textId="58196BCB" w:rsidR="005C0F0F" w:rsidRDefault="005C0F0F" w:rsidP="005C0F0F">
            <w:pPr>
              <w:jc w:val="right"/>
              <w:rPr>
                <w:rFonts w:ascii="Calibri" w:hAnsi="Calibri"/>
                <w:color w:val="000000"/>
              </w:rPr>
            </w:pPr>
            <w:r>
              <w:rPr>
                <w:rFonts w:ascii="Calibri" w:hAnsi="Calibri"/>
                <w:color w:val="000000"/>
              </w:rPr>
              <w:t>0,32</w:t>
            </w:r>
          </w:p>
        </w:tc>
        <w:tc>
          <w:tcPr>
            <w:tcW w:w="1044" w:type="dxa"/>
            <w:noWrap/>
            <w:vAlign w:val="bottom"/>
            <w:hideMark/>
          </w:tcPr>
          <w:p w14:paraId="21B7A4D8" w14:textId="2AE2421B" w:rsidR="005C0F0F" w:rsidRDefault="005C0F0F" w:rsidP="005C0F0F">
            <w:pPr>
              <w:jc w:val="right"/>
              <w:rPr>
                <w:rFonts w:ascii="Calibri" w:hAnsi="Calibri"/>
                <w:color w:val="000000"/>
              </w:rPr>
            </w:pPr>
            <w:r>
              <w:rPr>
                <w:rFonts w:ascii="Calibri" w:hAnsi="Calibri"/>
                <w:color w:val="000000"/>
              </w:rPr>
              <w:t>0,30</w:t>
            </w:r>
          </w:p>
        </w:tc>
        <w:tc>
          <w:tcPr>
            <w:tcW w:w="1193" w:type="dxa"/>
            <w:noWrap/>
            <w:vAlign w:val="bottom"/>
            <w:hideMark/>
          </w:tcPr>
          <w:p w14:paraId="1D3BC917" w14:textId="77777777" w:rsidR="005C0F0F" w:rsidRPr="00C851D8" w:rsidRDefault="005C0F0F" w:rsidP="005C0F0F">
            <w:pPr>
              <w:jc w:val="right"/>
              <w:rPr>
                <w:rFonts w:ascii="Calibri" w:hAnsi="Calibri"/>
                <w:b/>
                <w:sz w:val="18"/>
                <w:szCs w:val="18"/>
              </w:rPr>
            </w:pPr>
            <w:r>
              <w:rPr>
                <w:rFonts w:ascii="Calibri" w:hAnsi="Calibri"/>
                <w:b/>
                <w:sz w:val="18"/>
                <w:szCs w:val="18"/>
              </w:rPr>
              <w:t>0,758</w:t>
            </w:r>
          </w:p>
        </w:tc>
        <w:tc>
          <w:tcPr>
            <w:tcW w:w="897" w:type="dxa"/>
            <w:noWrap/>
            <w:vAlign w:val="bottom"/>
            <w:hideMark/>
          </w:tcPr>
          <w:p w14:paraId="199E29EF" w14:textId="77D19885" w:rsidR="005C0F0F" w:rsidRPr="004E10F3" w:rsidRDefault="005C0F0F" w:rsidP="005C0F0F">
            <w:pPr>
              <w:jc w:val="right"/>
              <w:rPr>
                <w:rFonts w:ascii="Calibri" w:hAnsi="Calibri"/>
                <w:color w:val="000000"/>
              </w:rPr>
            </w:pPr>
            <w:r>
              <w:rPr>
                <w:rFonts w:ascii="Calibri" w:hAnsi="Calibri"/>
                <w:color w:val="000000"/>
              </w:rPr>
              <w:t>0,30</w:t>
            </w:r>
          </w:p>
        </w:tc>
        <w:tc>
          <w:tcPr>
            <w:tcW w:w="1229" w:type="dxa"/>
            <w:noWrap/>
            <w:vAlign w:val="bottom"/>
            <w:hideMark/>
          </w:tcPr>
          <w:p w14:paraId="63BB809A" w14:textId="77777777" w:rsidR="005C0F0F" w:rsidRPr="00C851D8" w:rsidRDefault="005C0F0F" w:rsidP="005C0F0F">
            <w:pPr>
              <w:jc w:val="right"/>
              <w:rPr>
                <w:rFonts w:ascii="Calibri" w:hAnsi="Calibri"/>
                <w:b/>
                <w:sz w:val="18"/>
                <w:szCs w:val="18"/>
              </w:rPr>
            </w:pPr>
            <w:r>
              <w:rPr>
                <w:rFonts w:ascii="Calibri" w:hAnsi="Calibri"/>
                <w:b/>
                <w:sz w:val="18"/>
                <w:szCs w:val="18"/>
              </w:rPr>
              <w:t>1,000</w:t>
            </w:r>
          </w:p>
        </w:tc>
      </w:tr>
      <w:tr w:rsidR="00FE7A56" w:rsidRPr="002A729A" w14:paraId="0938E553" w14:textId="77777777" w:rsidTr="00E64253">
        <w:trPr>
          <w:trHeight w:val="300"/>
        </w:trPr>
        <w:tc>
          <w:tcPr>
            <w:tcW w:w="3227" w:type="dxa"/>
            <w:vMerge/>
            <w:shd w:val="clear" w:color="auto" w:fill="FFFFFF" w:themeFill="background1"/>
            <w:noWrap/>
            <w:hideMark/>
          </w:tcPr>
          <w:p w14:paraId="09B5B755" w14:textId="77777777" w:rsidR="00FE7A56" w:rsidRPr="00C851D8" w:rsidRDefault="00FE7A56" w:rsidP="00E64253">
            <w:pPr>
              <w:rPr>
                <w:b/>
                <w:sz w:val="18"/>
                <w:szCs w:val="18"/>
                <w:lang w:val="en-GB"/>
              </w:rPr>
            </w:pPr>
          </w:p>
        </w:tc>
        <w:tc>
          <w:tcPr>
            <w:tcW w:w="10631" w:type="dxa"/>
            <w:gridSpan w:val="10"/>
            <w:noWrap/>
            <w:vAlign w:val="bottom"/>
            <w:hideMark/>
          </w:tcPr>
          <w:p w14:paraId="1B46E12B" w14:textId="77777777" w:rsidR="00FE7A56" w:rsidRPr="00C851D8" w:rsidRDefault="00FE7A56" w:rsidP="00E64253">
            <w:pPr>
              <w:jc w:val="center"/>
              <w:rPr>
                <w:rFonts w:ascii="Calibri" w:hAnsi="Calibri"/>
                <w:b/>
                <w:sz w:val="18"/>
                <w:szCs w:val="18"/>
                <w:lang w:val="en-GB"/>
              </w:rPr>
            </w:pPr>
            <w:r w:rsidRPr="00C851D8">
              <w:rPr>
                <w:rFonts w:ascii="Calibri" w:hAnsi="Calibri"/>
                <w:b/>
                <w:sz w:val="18"/>
                <w:szCs w:val="18"/>
                <w:lang w:val="en-GB"/>
              </w:rPr>
              <w:t>Reference (µkat/L): M: 0-0.62, F:0-0.52</w:t>
            </w:r>
          </w:p>
        </w:tc>
      </w:tr>
      <w:tr w:rsidR="005C0F0F" w:rsidRPr="00C851D8" w14:paraId="0A4DFA39" w14:textId="77777777" w:rsidTr="006A7048">
        <w:trPr>
          <w:trHeight w:val="300"/>
        </w:trPr>
        <w:tc>
          <w:tcPr>
            <w:tcW w:w="3227" w:type="dxa"/>
            <w:vMerge w:val="restart"/>
            <w:shd w:val="clear" w:color="auto" w:fill="FFFFFF" w:themeFill="background1"/>
            <w:noWrap/>
            <w:hideMark/>
          </w:tcPr>
          <w:p w14:paraId="66C24531" w14:textId="0DC1505E" w:rsidR="005C0F0F" w:rsidRPr="00C851D8" w:rsidRDefault="005C0F0F" w:rsidP="005C0F0F">
            <w:pPr>
              <w:rPr>
                <w:b/>
                <w:sz w:val="18"/>
                <w:szCs w:val="18"/>
                <w:lang w:val="en-GB"/>
              </w:rPr>
            </w:pPr>
            <w:r w:rsidRPr="00C851D8">
              <w:rPr>
                <w:b/>
                <w:sz w:val="18"/>
                <w:szCs w:val="18"/>
                <w:lang w:val="en-GB"/>
              </w:rPr>
              <w:t>Alanine Amino Transferase</w:t>
            </w:r>
            <w:r w:rsidR="003557E0">
              <w:rPr>
                <w:b/>
                <w:sz w:val="18"/>
                <w:szCs w:val="18"/>
                <w:lang w:val="en-GB"/>
              </w:rPr>
              <w:t xml:space="preserve"> (µkat/L)</w:t>
            </w:r>
          </w:p>
          <w:p w14:paraId="45E550CD" w14:textId="77777777" w:rsidR="005C0F0F" w:rsidRPr="00C851D8" w:rsidRDefault="005C0F0F" w:rsidP="005C0F0F">
            <w:pPr>
              <w:rPr>
                <w:b/>
                <w:sz w:val="18"/>
                <w:szCs w:val="18"/>
                <w:lang w:val="en-GB"/>
              </w:rPr>
            </w:pPr>
            <w:r w:rsidRPr="00C851D8">
              <w:rPr>
                <w:sz w:val="16"/>
                <w:szCs w:val="16"/>
                <w:lang w:val="en-GB"/>
              </w:rPr>
              <w:t>UV-kinetic (IFCC) method without pyridoxal phosphate (Roche Diagnostics Cobas c701)</w:t>
            </w:r>
          </w:p>
        </w:tc>
        <w:tc>
          <w:tcPr>
            <w:tcW w:w="1044" w:type="dxa"/>
            <w:noWrap/>
            <w:vAlign w:val="bottom"/>
            <w:hideMark/>
          </w:tcPr>
          <w:p w14:paraId="0959A6D0" w14:textId="4678048C" w:rsidR="005C0F0F" w:rsidRDefault="005C0F0F" w:rsidP="005C0F0F">
            <w:pPr>
              <w:jc w:val="right"/>
              <w:rPr>
                <w:rFonts w:ascii="Calibri" w:hAnsi="Calibri"/>
                <w:color w:val="000000"/>
              </w:rPr>
            </w:pPr>
            <w:r>
              <w:rPr>
                <w:rFonts w:ascii="Calibri" w:hAnsi="Calibri"/>
                <w:color w:val="000000"/>
              </w:rPr>
              <w:t>0,28</w:t>
            </w:r>
          </w:p>
        </w:tc>
        <w:tc>
          <w:tcPr>
            <w:tcW w:w="1045" w:type="dxa"/>
            <w:noWrap/>
            <w:vAlign w:val="bottom"/>
            <w:hideMark/>
          </w:tcPr>
          <w:p w14:paraId="4F6120F9" w14:textId="64B493B5" w:rsidR="005C0F0F" w:rsidRDefault="005C0F0F" w:rsidP="005C0F0F">
            <w:pPr>
              <w:jc w:val="right"/>
              <w:rPr>
                <w:rFonts w:ascii="Calibri" w:hAnsi="Calibri"/>
                <w:color w:val="000000"/>
              </w:rPr>
            </w:pPr>
            <w:r>
              <w:rPr>
                <w:rFonts w:ascii="Calibri" w:hAnsi="Calibri"/>
                <w:color w:val="000000"/>
              </w:rPr>
              <w:t>0,33</w:t>
            </w:r>
          </w:p>
        </w:tc>
        <w:tc>
          <w:tcPr>
            <w:tcW w:w="1045" w:type="dxa"/>
            <w:noWrap/>
            <w:vAlign w:val="bottom"/>
            <w:hideMark/>
          </w:tcPr>
          <w:p w14:paraId="5C3ADF20" w14:textId="77777777" w:rsidR="005C0F0F" w:rsidRPr="00C851D8" w:rsidRDefault="005C0F0F" w:rsidP="005C0F0F">
            <w:pPr>
              <w:jc w:val="right"/>
              <w:rPr>
                <w:rFonts w:ascii="Calibri" w:hAnsi="Calibri"/>
                <w:b/>
                <w:sz w:val="18"/>
                <w:szCs w:val="18"/>
              </w:rPr>
            </w:pPr>
            <w:r>
              <w:rPr>
                <w:rFonts w:ascii="Calibri" w:hAnsi="Calibri"/>
                <w:b/>
                <w:sz w:val="18"/>
                <w:szCs w:val="18"/>
              </w:rPr>
              <w:t>0,134</w:t>
            </w:r>
          </w:p>
        </w:tc>
        <w:tc>
          <w:tcPr>
            <w:tcW w:w="1044" w:type="dxa"/>
            <w:noWrap/>
            <w:vAlign w:val="bottom"/>
            <w:hideMark/>
          </w:tcPr>
          <w:p w14:paraId="598EB354" w14:textId="1213BBCD" w:rsidR="005C0F0F" w:rsidRPr="004E10F3" w:rsidRDefault="005C0F0F" w:rsidP="005C0F0F">
            <w:pPr>
              <w:jc w:val="right"/>
              <w:rPr>
                <w:rFonts w:ascii="Calibri" w:hAnsi="Calibri"/>
                <w:color w:val="000000"/>
              </w:rPr>
            </w:pPr>
            <w:r>
              <w:rPr>
                <w:rFonts w:ascii="Calibri" w:hAnsi="Calibri"/>
                <w:color w:val="000000"/>
              </w:rPr>
              <w:t>0,38</w:t>
            </w:r>
          </w:p>
        </w:tc>
        <w:tc>
          <w:tcPr>
            <w:tcW w:w="1045" w:type="dxa"/>
            <w:noWrap/>
            <w:vAlign w:val="bottom"/>
            <w:hideMark/>
          </w:tcPr>
          <w:p w14:paraId="52827C26" w14:textId="77777777" w:rsidR="005C0F0F" w:rsidRPr="00C851D8" w:rsidRDefault="005C0F0F" w:rsidP="005C0F0F">
            <w:pPr>
              <w:jc w:val="right"/>
              <w:rPr>
                <w:rFonts w:ascii="Calibri" w:hAnsi="Calibri"/>
                <w:b/>
                <w:sz w:val="18"/>
                <w:szCs w:val="18"/>
              </w:rPr>
            </w:pPr>
            <w:r>
              <w:rPr>
                <w:rFonts w:ascii="Calibri" w:hAnsi="Calibri"/>
                <w:b/>
                <w:sz w:val="18"/>
                <w:szCs w:val="18"/>
              </w:rPr>
              <w:t>0,311</w:t>
            </w:r>
          </w:p>
        </w:tc>
        <w:tc>
          <w:tcPr>
            <w:tcW w:w="1045" w:type="dxa"/>
            <w:noWrap/>
            <w:vAlign w:val="bottom"/>
            <w:hideMark/>
          </w:tcPr>
          <w:p w14:paraId="72E1A773" w14:textId="3CC82D84" w:rsidR="005C0F0F" w:rsidRDefault="005C0F0F" w:rsidP="005C0F0F">
            <w:pPr>
              <w:jc w:val="right"/>
              <w:rPr>
                <w:rFonts w:ascii="Calibri" w:hAnsi="Calibri"/>
                <w:color w:val="000000"/>
              </w:rPr>
            </w:pPr>
            <w:r>
              <w:rPr>
                <w:rFonts w:ascii="Calibri" w:hAnsi="Calibri"/>
                <w:color w:val="000000"/>
              </w:rPr>
              <w:t>0,37</w:t>
            </w:r>
          </w:p>
        </w:tc>
        <w:tc>
          <w:tcPr>
            <w:tcW w:w="1044" w:type="dxa"/>
            <w:noWrap/>
            <w:vAlign w:val="bottom"/>
            <w:hideMark/>
          </w:tcPr>
          <w:p w14:paraId="55E1EB53" w14:textId="60A3EE32" w:rsidR="005C0F0F" w:rsidRDefault="005C0F0F" w:rsidP="005C0F0F">
            <w:pPr>
              <w:jc w:val="right"/>
              <w:rPr>
                <w:rFonts w:ascii="Calibri" w:hAnsi="Calibri"/>
                <w:color w:val="000000"/>
              </w:rPr>
            </w:pPr>
            <w:r>
              <w:rPr>
                <w:rFonts w:ascii="Calibri" w:hAnsi="Calibri"/>
                <w:color w:val="000000"/>
              </w:rPr>
              <w:t>0,37</w:t>
            </w:r>
          </w:p>
        </w:tc>
        <w:tc>
          <w:tcPr>
            <w:tcW w:w="1193" w:type="dxa"/>
            <w:noWrap/>
            <w:vAlign w:val="bottom"/>
            <w:hideMark/>
          </w:tcPr>
          <w:p w14:paraId="570DB56E" w14:textId="77777777" w:rsidR="005C0F0F" w:rsidRPr="00C851D8" w:rsidRDefault="005C0F0F" w:rsidP="005C0F0F">
            <w:pPr>
              <w:jc w:val="right"/>
              <w:rPr>
                <w:rFonts w:ascii="Calibri" w:hAnsi="Calibri"/>
                <w:b/>
                <w:sz w:val="18"/>
                <w:szCs w:val="18"/>
              </w:rPr>
            </w:pPr>
            <w:r>
              <w:rPr>
                <w:rFonts w:ascii="Calibri" w:hAnsi="Calibri"/>
                <w:b/>
                <w:sz w:val="18"/>
                <w:szCs w:val="18"/>
              </w:rPr>
              <w:t>0,614</w:t>
            </w:r>
          </w:p>
        </w:tc>
        <w:tc>
          <w:tcPr>
            <w:tcW w:w="897" w:type="dxa"/>
            <w:noWrap/>
            <w:vAlign w:val="bottom"/>
            <w:hideMark/>
          </w:tcPr>
          <w:p w14:paraId="43F6147A" w14:textId="66380622" w:rsidR="005C0F0F" w:rsidRPr="004E10F3" w:rsidRDefault="005C0F0F" w:rsidP="005C0F0F">
            <w:pPr>
              <w:jc w:val="right"/>
              <w:rPr>
                <w:rFonts w:ascii="Calibri" w:hAnsi="Calibri"/>
                <w:color w:val="000000"/>
              </w:rPr>
            </w:pPr>
            <w:r>
              <w:rPr>
                <w:rFonts w:ascii="Calibri" w:hAnsi="Calibri"/>
                <w:color w:val="000000"/>
              </w:rPr>
              <w:t>0,39</w:t>
            </w:r>
          </w:p>
        </w:tc>
        <w:tc>
          <w:tcPr>
            <w:tcW w:w="1229" w:type="dxa"/>
            <w:noWrap/>
            <w:vAlign w:val="bottom"/>
            <w:hideMark/>
          </w:tcPr>
          <w:p w14:paraId="527C6C27" w14:textId="77777777" w:rsidR="005C0F0F" w:rsidRPr="00C851D8" w:rsidRDefault="005C0F0F" w:rsidP="005C0F0F">
            <w:pPr>
              <w:jc w:val="right"/>
              <w:rPr>
                <w:rFonts w:ascii="Calibri" w:hAnsi="Calibri"/>
                <w:b/>
                <w:sz w:val="18"/>
                <w:szCs w:val="18"/>
              </w:rPr>
            </w:pPr>
            <w:r>
              <w:rPr>
                <w:rFonts w:ascii="Calibri" w:hAnsi="Calibri"/>
                <w:b/>
                <w:sz w:val="18"/>
                <w:szCs w:val="18"/>
              </w:rPr>
              <w:t>0,237</w:t>
            </w:r>
          </w:p>
        </w:tc>
      </w:tr>
      <w:tr w:rsidR="00FE7A56" w:rsidRPr="002A729A" w14:paraId="48E182B1" w14:textId="77777777" w:rsidTr="00E64253">
        <w:trPr>
          <w:trHeight w:val="300"/>
        </w:trPr>
        <w:tc>
          <w:tcPr>
            <w:tcW w:w="3227" w:type="dxa"/>
            <w:vMerge/>
            <w:shd w:val="clear" w:color="auto" w:fill="FFFFFF" w:themeFill="background1"/>
            <w:noWrap/>
            <w:hideMark/>
          </w:tcPr>
          <w:p w14:paraId="6C851F51" w14:textId="77777777" w:rsidR="00FE7A56" w:rsidRPr="00C851D8" w:rsidRDefault="00FE7A56" w:rsidP="00E64253">
            <w:pPr>
              <w:rPr>
                <w:b/>
                <w:sz w:val="18"/>
                <w:szCs w:val="18"/>
                <w:lang w:val="en-GB"/>
              </w:rPr>
            </w:pPr>
          </w:p>
        </w:tc>
        <w:tc>
          <w:tcPr>
            <w:tcW w:w="10631" w:type="dxa"/>
            <w:gridSpan w:val="10"/>
            <w:noWrap/>
            <w:vAlign w:val="bottom"/>
            <w:hideMark/>
          </w:tcPr>
          <w:p w14:paraId="4A0F529F" w14:textId="77777777" w:rsidR="00FE7A56" w:rsidRPr="00C851D8" w:rsidRDefault="00FE7A56" w:rsidP="00E64253">
            <w:pPr>
              <w:jc w:val="center"/>
              <w:rPr>
                <w:rFonts w:ascii="Calibri" w:hAnsi="Calibri"/>
                <w:b/>
                <w:sz w:val="18"/>
                <w:szCs w:val="18"/>
                <w:lang w:val="en-GB"/>
              </w:rPr>
            </w:pPr>
            <w:r w:rsidRPr="00C851D8">
              <w:rPr>
                <w:rFonts w:ascii="Calibri" w:hAnsi="Calibri"/>
                <w:b/>
                <w:sz w:val="18"/>
                <w:szCs w:val="18"/>
                <w:lang w:val="en-GB"/>
              </w:rPr>
              <w:t>Reference (µkat/L): M: 0.12-0.67, F:</w:t>
            </w:r>
            <w:r>
              <w:rPr>
                <w:rFonts w:ascii="Calibri" w:hAnsi="Calibri"/>
                <w:b/>
                <w:sz w:val="18"/>
                <w:szCs w:val="18"/>
                <w:lang w:val="en-GB"/>
              </w:rPr>
              <w:t xml:space="preserve"> </w:t>
            </w:r>
            <w:r w:rsidRPr="00C851D8">
              <w:rPr>
                <w:rFonts w:ascii="Calibri" w:hAnsi="Calibri"/>
                <w:b/>
                <w:sz w:val="18"/>
                <w:szCs w:val="18"/>
                <w:lang w:val="en-GB"/>
              </w:rPr>
              <w:t>0.12-0.52</w:t>
            </w:r>
          </w:p>
        </w:tc>
      </w:tr>
      <w:tr w:rsidR="00711ED6" w:rsidRPr="00C851D8" w14:paraId="045BB2B1" w14:textId="77777777" w:rsidTr="006A7048">
        <w:trPr>
          <w:trHeight w:val="300"/>
        </w:trPr>
        <w:tc>
          <w:tcPr>
            <w:tcW w:w="3227" w:type="dxa"/>
            <w:vMerge w:val="restart"/>
            <w:shd w:val="clear" w:color="auto" w:fill="FFFFFF" w:themeFill="background1"/>
            <w:noWrap/>
            <w:hideMark/>
          </w:tcPr>
          <w:p w14:paraId="0E5F8D7B" w14:textId="7BA85C60" w:rsidR="00711ED6" w:rsidRPr="00FD0654" w:rsidRDefault="00711ED6" w:rsidP="00711ED6">
            <w:pPr>
              <w:rPr>
                <w:b/>
                <w:sz w:val="18"/>
                <w:szCs w:val="18"/>
                <w:lang w:val="en-GB"/>
              </w:rPr>
            </w:pPr>
            <w:r w:rsidRPr="00FD0654">
              <w:rPr>
                <w:b/>
                <w:sz w:val="18"/>
                <w:szCs w:val="18"/>
                <w:lang w:val="en-GB"/>
              </w:rPr>
              <w:t>Triglycerides</w:t>
            </w:r>
            <w:r w:rsidR="003557E0">
              <w:rPr>
                <w:b/>
                <w:sz w:val="18"/>
                <w:szCs w:val="18"/>
                <w:lang w:val="en-GB"/>
              </w:rPr>
              <w:t xml:space="preserve"> (mmol/L)</w:t>
            </w:r>
          </w:p>
          <w:p w14:paraId="02C35E9C" w14:textId="77777777" w:rsidR="00711ED6" w:rsidRPr="00C851D8" w:rsidRDefault="00711ED6" w:rsidP="00711ED6">
            <w:pPr>
              <w:rPr>
                <w:b/>
                <w:sz w:val="18"/>
                <w:szCs w:val="18"/>
                <w:lang w:val="en-GB"/>
              </w:rPr>
            </w:pPr>
            <w:r w:rsidRPr="00C851D8">
              <w:rPr>
                <w:sz w:val="16"/>
                <w:szCs w:val="16"/>
                <w:lang w:val="en-GB"/>
              </w:rPr>
              <w:t>Enzymatic colorimetric method (GPO-PAP and CHOD-PAP, Roche Diagnostics c701 (a+b))</w:t>
            </w:r>
          </w:p>
        </w:tc>
        <w:tc>
          <w:tcPr>
            <w:tcW w:w="1044" w:type="dxa"/>
            <w:noWrap/>
            <w:vAlign w:val="bottom"/>
            <w:hideMark/>
          </w:tcPr>
          <w:p w14:paraId="1C113F9F" w14:textId="5639B114" w:rsidR="00711ED6" w:rsidRDefault="00711ED6" w:rsidP="00711ED6">
            <w:pPr>
              <w:jc w:val="right"/>
              <w:rPr>
                <w:rFonts w:ascii="Calibri" w:hAnsi="Calibri"/>
                <w:color w:val="000000"/>
              </w:rPr>
            </w:pPr>
            <w:r>
              <w:rPr>
                <w:rFonts w:ascii="Calibri" w:hAnsi="Calibri"/>
                <w:color w:val="000000"/>
              </w:rPr>
              <w:t>0,930</w:t>
            </w:r>
          </w:p>
        </w:tc>
        <w:tc>
          <w:tcPr>
            <w:tcW w:w="1045" w:type="dxa"/>
            <w:noWrap/>
            <w:vAlign w:val="bottom"/>
            <w:hideMark/>
          </w:tcPr>
          <w:p w14:paraId="5CC26C09" w14:textId="23D3AD8D" w:rsidR="00711ED6" w:rsidRDefault="00711ED6" w:rsidP="00711ED6">
            <w:pPr>
              <w:jc w:val="right"/>
              <w:rPr>
                <w:rFonts w:ascii="Calibri" w:hAnsi="Calibri"/>
                <w:color w:val="000000"/>
              </w:rPr>
            </w:pPr>
            <w:r>
              <w:rPr>
                <w:rFonts w:ascii="Calibri" w:hAnsi="Calibri"/>
                <w:color w:val="000000"/>
              </w:rPr>
              <w:t>0,764</w:t>
            </w:r>
          </w:p>
        </w:tc>
        <w:tc>
          <w:tcPr>
            <w:tcW w:w="1045" w:type="dxa"/>
            <w:noWrap/>
            <w:vAlign w:val="bottom"/>
            <w:hideMark/>
          </w:tcPr>
          <w:p w14:paraId="29B78BBC" w14:textId="7AEBCE9F" w:rsidR="00711ED6" w:rsidRPr="00C851D8" w:rsidRDefault="00711ED6" w:rsidP="00711ED6">
            <w:pPr>
              <w:jc w:val="right"/>
              <w:rPr>
                <w:rFonts w:ascii="Calibri" w:hAnsi="Calibri"/>
                <w:b/>
                <w:sz w:val="18"/>
                <w:szCs w:val="18"/>
              </w:rPr>
            </w:pPr>
            <w:r w:rsidRPr="00711ED6">
              <w:rPr>
                <w:rFonts w:ascii="Calibri" w:hAnsi="Calibri"/>
                <w:b/>
                <w:sz w:val="18"/>
                <w:szCs w:val="18"/>
              </w:rPr>
              <w:t>0,333</w:t>
            </w:r>
          </w:p>
        </w:tc>
        <w:tc>
          <w:tcPr>
            <w:tcW w:w="1044" w:type="dxa"/>
            <w:noWrap/>
            <w:vAlign w:val="bottom"/>
            <w:hideMark/>
          </w:tcPr>
          <w:p w14:paraId="01786572" w14:textId="3A7881FB" w:rsidR="00711ED6" w:rsidRPr="00C0471C" w:rsidRDefault="00711ED6" w:rsidP="00711ED6">
            <w:pPr>
              <w:jc w:val="right"/>
              <w:rPr>
                <w:rFonts w:ascii="Calibri" w:hAnsi="Calibri"/>
                <w:color w:val="000000"/>
              </w:rPr>
            </w:pPr>
            <w:r>
              <w:rPr>
                <w:rFonts w:ascii="Calibri" w:hAnsi="Calibri"/>
                <w:color w:val="000000"/>
              </w:rPr>
              <w:t>0,766</w:t>
            </w:r>
          </w:p>
        </w:tc>
        <w:tc>
          <w:tcPr>
            <w:tcW w:w="1045" w:type="dxa"/>
            <w:noWrap/>
            <w:vAlign w:val="bottom"/>
            <w:hideMark/>
          </w:tcPr>
          <w:p w14:paraId="02D87818" w14:textId="1574C38F" w:rsidR="00711ED6" w:rsidRPr="00C851D8" w:rsidRDefault="00711ED6" w:rsidP="00711ED6">
            <w:pPr>
              <w:jc w:val="right"/>
              <w:rPr>
                <w:rFonts w:ascii="Calibri" w:hAnsi="Calibri"/>
                <w:b/>
                <w:sz w:val="18"/>
                <w:szCs w:val="18"/>
              </w:rPr>
            </w:pPr>
            <w:r w:rsidRPr="00711ED6">
              <w:rPr>
                <w:rFonts w:ascii="Calibri" w:hAnsi="Calibri"/>
                <w:b/>
                <w:sz w:val="18"/>
                <w:szCs w:val="18"/>
              </w:rPr>
              <w:t>0,046</w:t>
            </w:r>
          </w:p>
        </w:tc>
        <w:tc>
          <w:tcPr>
            <w:tcW w:w="1045" w:type="dxa"/>
            <w:noWrap/>
            <w:vAlign w:val="bottom"/>
            <w:hideMark/>
          </w:tcPr>
          <w:p w14:paraId="4583F49B" w14:textId="10DC6179" w:rsidR="00711ED6" w:rsidRDefault="00711ED6" w:rsidP="00711ED6">
            <w:pPr>
              <w:jc w:val="right"/>
              <w:rPr>
                <w:rFonts w:ascii="Calibri" w:hAnsi="Calibri"/>
                <w:color w:val="000000"/>
              </w:rPr>
            </w:pPr>
            <w:r>
              <w:rPr>
                <w:rFonts w:ascii="Calibri" w:hAnsi="Calibri"/>
                <w:color w:val="000000"/>
              </w:rPr>
              <w:t>0,644</w:t>
            </w:r>
          </w:p>
        </w:tc>
        <w:tc>
          <w:tcPr>
            <w:tcW w:w="1044" w:type="dxa"/>
            <w:noWrap/>
            <w:vAlign w:val="bottom"/>
            <w:hideMark/>
          </w:tcPr>
          <w:p w14:paraId="724BB303" w14:textId="5782EA48" w:rsidR="00711ED6" w:rsidRDefault="00711ED6" w:rsidP="00711ED6">
            <w:pPr>
              <w:jc w:val="right"/>
              <w:rPr>
                <w:rFonts w:ascii="Calibri" w:hAnsi="Calibri"/>
                <w:color w:val="000000"/>
              </w:rPr>
            </w:pPr>
            <w:r>
              <w:rPr>
                <w:rFonts w:ascii="Calibri" w:hAnsi="Calibri"/>
                <w:color w:val="000000"/>
              </w:rPr>
              <w:t>0,928</w:t>
            </w:r>
          </w:p>
        </w:tc>
        <w:tc>
          <w:tcPr>
            <w:tcW w:w="1193" w:type="dxa"/>
            <w:noWrap/>
            <w:vAlign w:val="bottom"/>
            <w:hideMark/>
          </w:tcPr>
          <w:p w14:paraId="5D1F5D5E" w14:textId="68A66C60" w:rsidR="00711ED6" w:rsidRPr="00C851D8" w:rsidRDefault="00711ED6" w:rsidP="00711ED6">
            <w:pPr>
              <w:jc w:val="right"/>
              <w:rPr>
                <w:rFonts w:ascii="Calibri" w:hAnsi="Calibri"/>
                <w:b/>
                <w:sz w:val="18"/>
                <w:szCs w:val="18"/>
              </w:rPr>
            </w:pPr>
            <w:r w:rsidRPr="00711ED6">
              <w:rPr>
                <w:rFonts w:ascii="Calibri" w:hAnsi="Calibri"/>
                <w:b/>
                <w:sz w:val="18"/>
                <w:szCs w:val="18"/>
              </w:rPr>
              <w:t>0,179</w:t>
            </w:r>
          </w:p>
        </w:tc>
        <w:tc>
          <w:tcPr>
            <w:tcW w:w="897" w:type="dxa"/>
            <w:noWrap/>
            <w:vAlign w:val="bottom"/>
            <w:hideMark/>
          </w:tcPr>
          <w:p w14:paraId="174DD2EA" w14:textId="1CC605DC" w:rsidR="00711ED6" w:rsidRPr="00C0471C" w:rsidRDefault="00711ED6" w:rsidP="00711ED6">
            <w:pPr>
              <w:jc w:val="right"/>
              <w:rPr>
                <w:rFonts w:ascii="Calibri" w:hAnsi="Calibri"/>
                <w:color w:val="000000"/>
              </w:rPr>
            </w:pPr>
            <w:r>
              <w:rPr>
                <w:rFonts w:ascii="Calibri" w:hAnsi="Calibri"/>
                <w:color w:val="000000"/>
              </w:rPr>
              <w:t>0,827</w:t>
            </w:r>
          </w:p>
        </w:tc>
        <w:tc>
          <w:tcPr>
            <w:tcW w:w="1229" w:type="dxa"/>
            <w:noWrap/>
            <w:vAlign w:val="bottom"/>
            <w:hideMark/>
          </w:tcPr>
          <w:p w14:paraId="1FA126D6" w14:textId="48DB08B9" w:rsidR="00711ED6" w:rsidRPr="00C851D8" w:rsidRDefault="00711ED6" w:rsidP="00711ED6">
            <w:pPr>
              <w:jc w:val="right"/>
              <w:rPr>
                <w:rFonts w:ascii="Calibri" w:hAnsi="Calibri"/>
                <w:b/>
                <w:sz w:val="18"/>
                <w:szCs w:val="18"/>
              </w:rPr>
            </w:pPr>
            <w:r w:rsidRPr="00711ED6">
              <w:rPr>
                <w:rFonts w:ascii="Calibri" w:hAnsi="Calibri"/>
                <w:b/>
                <w:sz w:val="18"/>
                <w:szCs w:val="18"/>
              </w:rPr>
              <w:t>0,536</w:t>
            </w:r>
          </w:p>
        </w:tc>
      </w:tr>
      <w:tr w:rsidR="00FE7A56" w:rsidRPr="002A729A" w14:paraId="575670DB" w14:textId="77777777" w:rsidTr="00E64253">
        <w:trPr>
          <w:trHeight w:val="300"/>
        </w:trPr>
        <w:tc>
          <w:tcPr>
            <w:tcW w:w="3227" w:type="dxa"/>
            <w:vMerge/>
            <w:shd w:val="clear" w:color="auto" w:fill="FFFFFF" w:themeFill="background1"/>
            <w:noWrap/>
            <w:hideMark/>
          </w:tcPr>
          <w:p w14:paraId="4CE2E6B3" w14:textId="77777777" w:rsidR="00FE7A56" w:rsidRPr="00C851D8" w:rsidRDefault="00FE7A56" w:rsidP="00E64253">
            <w:pPr>
              <w:rPr>
                <w:b/>
                <w:sz w:val="18"/>
                <w:szCs w:val="18"/>
              </w:rPr>
            </w:pPr>
          </w:p>
        </w:tc>
        <w:tc>
          <w:tcPr>
            <w:tcW w:w="10631" w:type="dxa"/>
            <w:gridSpan w:val="10"/>
            <w:noWrap/>
            <w:vAlign w:val="bottom"/>
            <w:hideMark/>
          </w:tcPr>
          <w:p w14:paraId="37B935EC" w14:textId="77777777" w:rsidR="00FE7A56" w:rsidRPr="00C851D8" w:rsidRDefault="00FE7A56" w:rsidP="00E64253">
            <w:pPr>
              <w:jc w:val="center"/>
              <w:rPr>
                <w:rFonts w:ascii="Calibri" w:hAnsi="Calibri"/>
                <w:b/>
                <w:sz w:val="18"/>
                <w:szCs w:val="18"/>
                <w:lang w:val="en-GB"/>
              </w:rPr>
            </w:pPr>
            <w:r w:rsidRPr="00C851D8">
              <w:rPr>
                <w:rFonts w:ascii="Calibri" w:hAnsi="Calibri"/>
                <w:b/>
                <w:sz w:val="18"/>
                <w:szCs w:val="18"/>
                <w:lang w:val="en-GB"/>
              </w:rPr>
              <w:t xml:space="preserve">Reference (mmol/L): </w:t>
            </w:r>
            <w:r>
              <w:rPr>
                <w:rFonts w:ascii="Calibri" w:hAnsi="Calibri"/>
                <w:b/>
                <w:sz w:val="18"/>
                <w:szCs w:val="18"/>
                <w:lang w:val="en-GB"/>
              </w:rPr>
              <w:t>M 10-15y: 0.362-1,413,</w:t>
            </w:r>
            <w:r w:rsidRPr="00C851D8">
              <w:rPr>
                <w:rFonts w:ascii="Calibri" w:hAnsi="Calibri"/>
                <w:b/>
                <w:sz w:val="18"/>
                <w:szCs w:val="18"/>
                <w:lang w:val="en-GB"/>
              </w:rPr>
              <w:t xml:space="preserve"> M 15-20y: 0.418-1,672, F 10-15y: 0.418-1.48; F 15-20y: 0.441-1,492</w:t>
            </w:r>
          </w:p>
        </w:tc>
      </w:tr>
      <w:tr w:rsidR="00AB1171" w:rsidRPr="00C851D8" w14:paraId="1103BC94" w14:textId="77777777" w:rsidTr="006A7048">
        <w:trPr>
          <w:trHeight w:val="300"/>
        </w:trPr>
        <w:tc>
          <w:tcPr>
            <w:tcW w:w="3227" w:type="dxa"/>
            <w:vMerge w:val="restart"/>
            <w:shd w:val="clear" w:color="auto" w:fill="FFFFFF" w:themeFill="background1"/>
            <w:noWrap/>
            <w:hideMark/>
          </w:tcPr>
          <w:p w14:paraId="2A345E65" w14:textId="5EF39558" w:rsidR="00AB1171" w:rsidRPr="00FD0654" w:rsidRDefault="00AB1171" w:rsidP="00AB1171">
            <w:pPr>
              <w:rPr>
                <w:b/>
                <w:sz w:val="18"/>
                <w:szCs w:val="18"/>
                <w:lang w:val="en-GB"/>
              </w:rPr>
            </w:pPr>
            <w:r w:rsidRPr="00FD0654">
              <w:rPr>
                <w:b/>
                <w:sz w:val="18"/>
                <w:szCs w:val="18"/>
                <w:lang w:val="en-GB"/>
              </w:rPr>
              <w:t>Total cholesterol</w:t>
            </w:r>
            <w:r w:rsidR="003557E0">
              <w:rPr>
                <w:b/>
                <w:sz w:val="18"/>
                <w:szCs w:val="18"/>
                <w:lang w:val="en-GB"/>
              </w:rPr>
              <w:t xml:space="preserve"> (mmol/L)</w:t>
            </w:r>
          </w:p>
          <w:p w14:paraId="3616248E" w14:textId="77777777" w:rsidR="00AB1171" w:rsidRPr="00C851D8" w:rsidRDefault="00AB1171" w:rsidP="00AB1171">
            <w:pPr>
              <w:rPr>
                <w:b/>
                <w:sz w:val="18"/>
                <w:szCs w:val="18"/>
                <w:lang w:val="en-GB"/>
              </w:rPr>
            </w:pPr>
            <w:r w:rsidRPr="00C851D8">
              <w:rPr>
                <w:sz w:val="16"/>
                <w:szCs w:val="16"/>
                <w:lang w:val="en-GB"/>
              </w:rPr>
              <w:t>Enzymatic colorimetric method (GPO-PAP and CHOD-PAP, Roche Diagnostics c701 (a+b))</w:t>
            </w:r>
          </w:p>
        </w:tc>
        <w:tc>
          <w:tcPr>
            <w:tcW w:w="1044" w:type="dxa"/>
            <w:noWrap/>
            <w:vAlign w:val="bottom"/>
            <w:hideMark/>
          </w:tcPr>
          <w:p w14:paraId="0A852997" w14:textId="14D9ECD0" w:rsidR="00AB1171" w:rsidRDefault="00AB1171" w:rsidP="00AB1171">
            <w:pPr>
              <w:jc w:val="right"/>
              <w:rPr>
                <w:rFonts w:ascii="Calibri" w:hAnsi="Calibri"/>
                <w:color w:val="000000"/>
              </w:rPr>
            </w:pPr>
            <w:r>
              <w:rPr>
                <w:rFonts w:ascii="Calibri" w:hAnsi="Calibri"/>
                <w:color w:val="000000"/>
              </w:rPr>
              <w:t>3,764</w:t>
            </w:r>
          </w:p>
        </w:tc>
        <w:tc>
          <w:tcPr>
            <w:tcW w:w="1045" w:type="dxa"/>
            <w:noWrap/>
            <w:vAlign w:val="bottom"/>
            <w:hideMark/>
          </w:tcPr>
          <w:p w14:paraId="31993CB4" w14:textId="52634C55" w:rsidR="00AB1171" w:rsidRDefault="00AB1171" w:rsidP="00AB1171">
            <w:pPr>
              <w:jc w:val="right"/>
              <w:rPr>
                <w:rFonts w:ascii="Calibri" w:hAnsi="Calibri"/>
                <w:color w:val="000000"/>
              </w:rPr>
            </w:pPr>
            <w:r>
              <w:rPr>
                <w:rFonts w:ascii="Calibri" w:hAnsi="Calibri"/>
                <w:color w:val="000000"/>
              </w:rPr>
              <w:t>3,664</w:t>
            </w:r>
          </w:p>
        </w:tc>
        <w:tc>
          <w:tcPr>
            <w:tcW w:w="1045" w:type="dxa"/>
            <w:noWrap/>
            <w:vAlign w:val="bottom"/>
            <w:hideMark/>
          </w:tcPr>
          <w:p w14:paraId="5EBA9DBB" w14:textId="72AAEFEF" w:rsidR="00AB1171" w:rsidRPr="00C851D8" w:rsidRDefault="00AB1171" w:rsidP="00AB1171">
            <w:pPr>
              <w:jc w:val="right"/>
              <w:rPr>
                <w:rFonts w:ascii="Calibri" w:hAnsi="Calibri"/>
                <w:b/>
                <w:sz w:val="18"/>
                <w:szCs w:val="18"/>
              </w:rPr>
            </w:pPr>
            <w:r w:rsidRPr="00AB1171">
              <w:rPr>
                <w:rFonts w:ascii="Calibri" w:hAnsi="Calibri"/>
                <w:b/>
                <w:sz w:val="18"/>
                <w:szCs w:val="18"/>
              </w:rPr>
              <w:t>0,349</w:t>
            </w:r>
          </w:p>
        </w:tc>
        <w:tc>
          <w:tcPr>
            <w:tcW w:w="1044" w:type="dxa"/>
            <w:noWrap/>
            <w:vAlign w:val="bottom"/>
            <w:hideMark/>
          </w:tcPr>
          <w:p w14:paraId="3841EEB1" w14:textId="4772871D" w:rsidR="00AB1171" w:rsidRPr="00C0471C" w:rsidRDefault="00AB1171" w:rsidP="00AB1171">
            <w:pPr>
              <w:jc w:val="right"/>
              <w:rPr>
                <w:rFonts w:ascii="Calibri" w:hAnsi="Calibri"/>
                <w:color w:val="000000"/>
              </w:rPr>
            </w:pPr>
            <w:r>
              <w:rPr>
                <w:rFonts w:ascii="Calibri" w:hAnsi="Calibri"/>
                <w:color w:val="000000"/>
              </w:rPr>
              <w:t>3,605</w:t>
            </w:r>
          </w:p>
        </w:tc>
        <w:tc>
          <w:tcPr>
            <w:tcW w:w="1045" w:type="dxa"/>
            <w:noWrap/>
            <w:vAlign w:val="bottom"/>
            <w:hideMark/>
          </w:tcPr>
          <w:p w14:paraId="546EDB62" w14:textId="5D65FD28" w:rsidR="00AB1171" w:rsidRPr="00C851D8" w:rsidRDefault="00AB1171" w:rsidP="00AB1171">
            <w:pPr>
              <w:jc w:val="right"/>
              <w:rPr>
                <w:rFonts w:ascii="Calibri" w:hAnsi="Calibri"/>
                <w:b/>
                <w:sz w:val="18"/>
                <w:szCs w:val="18"/>
              </w:rPr>
            </w:pPr>
            <w:r w:rsidRPr="00AB1171">
              <w:rPr>
                <w:rFonts w:ascii="Calibri" w:hAnsi="Calibri"/>
                <w:b/>
                <w:sz w:val="18"/>
                <w:szCs w:val="18"/>
              </w:rPr>
              <w:t>0,244</w:t>
            </w:r>
          </w:p>
        </w:tc>
        <w:tc>
          <w:tcPr>
            <w:tcW w:w="1045" w:type="dxa"/>
            <w:noWrap/>
            <w:vAlign w:val="bottom"/>
            <w:hideMark/>
          </w:tcPr>
          <w:p w14:paraId="3BE32BB3" w14:textId="24B45F16" w:rsidR="00AB1171" w:rsidRDefault="00AB1171" w:rsidP="00AB1171">
            <w:pPr>
              <w:jc w:val="right"/>
              <w:rPr>
                <w:rFonts w:ascii="Calibri" w:hAnsi="Calibri"/>
                <w:color w:val="000000"/>
              </w:rPr>
            </w:pPr>
            <w:r>
              <w:rPr>
                <w:rFonts w:ascii="Calibri" w:hAnsi="Calibri"/>
                <w:color w:val="000000"/>
              </w:rPr>
              <w:t>3,570</w:t>
            </w:r>
          </w:p>
        </w:tc>
        <w:tc>
          <w:tcPr>
            <w:tcW w:w="1044" w:type="dxa"/>
            <w:noWrap/>
            <w:vAlign w:val="bottom"/>
            <w:hideMark/>
          </w:tcPr>
          <w:p w14:paraId="1510377D" w14:textId="2E980F9A" w:rsidR="00AB1171" w:rsidRDefault="00AB1171" w:rsidP="00AB1171">
            <w:pPr>
              <w:jc w:val="right"/>
              <w:rPr>
                <w:rFonts w:ascii="Calibri" w:hAnsi="Calibri"/>
                <w:color w:val="000000"/>
              </w:rPr>
            </w:pPr>
            <w:r>
              <w:rPr>
                <w:rFonts w:ascii="Calibri" w:hAnsi="Calibri"/>
                <w:color w:val="000000"/>
              </w:rPr>
              <w:t>3,737</w:t>
            </w:r>
          </w:p>
        </w:tc>
        <w:tc>
          <w:tcPr>
            <w:tcW w:w="1193" w:type="dxa"/>
            <w:noWrap/>
            <w:vAlign w:val="bottom"/>
            <w:hideMark/>
          </w:tcPr>
          <w:p w14:paraId="2A2D7880" w14:textId="5202DD0D" w:rsidR="00AB1171" w:rsidRPr="00C851D8" w:rsidRDefault="00AB1171" w:rsidP="00AB1171">
            <w:pPr>
              <w:jc w:val="right"/>
              <w:rPr>
                <w:rFonts w:ascii="Calibri" w:hAnsi="Calibri"/>
                <w:b/>
                <w:sz w:val="18"/>
                <w:szCs w:val="18"/>
              </w:rPr>
            </w:pPr>
            <w:r w:rsidRPr="00AB1171">
              <w:rPr>
                <w:rFonts w:ascii="Calibri" w:hAnsi="Calibri"/>
                <w:b/>
                <w:sz w:val="18"/>
                <w:szCs w:val="18"/>
              </w:rPr>
              <w:t>0,281</w:t>
            </w:r>
          </w:p>
        </w:tc>
        <w:tc>
          <w:tcPr>
            <w:tcW w:w="897" w:type="dxa"/>
            <w:noWrap/>
            <w:vAlign w:val="bottom"/>
            <w:hideMark/>
          </w:tcPr>
          <w:p w14:paraId="2D7481EB" w14:textId="053EB1FB" w:rsidR="00AB1171" w:rsidRPr="00C0471C" w:rsidRDefault="00AB1171" w:rsidP="00AB1171">
            <w:pPr>
              <w:jc w:val="right"/>
              <w:rPr>
                <w:rFonts w:ascii="Calibri" w:hAnsi="Calibri"/>
                <w:color w:val="000000"/>
              </w:rPr>
            </w:pPr>
            <w:r>
              <w:rPr>
                <w:rFonts w:ascii="Calibri" w:hAnsi="Calibri"/>
                <w:color w:val="000000"/>
              </w:rPr>
              <w:t>3,509</w:t>
            </w:r>
          </w:p>
        </w:tc>
        <w:tc>
          <w:tcPr>
            <w:tcW w:w="1229" w:type="dxa"/>
            <w:noWrap/>
            <w:vAlign w:val="bottom"/>
            <w:hideMark/>
          </w:tcPr>
          <w:p w14:paraId="69A8EFC8" w14:textId="76DEE491" w:rsidR="00AB1171" w:rsidRPr="00C851D8" w:rsidRDefault="00AB1171" w:rsidP="00AB1171">
            <w:pPr>
              <w:jc w:val="right"/>
              <w:rPr>
                <w:rFonts w:ascii="Calibri" w:hAnsi="Calibri"/>
                <w:b/>
                <w:sz w:val="18"/>
                <w:szCs w:val="18"/>
              </w:rPr>
            </w:pPr>
            <w:r w:rsidRPr="00AB1171">
              <w:rPr>
                <w:rFonts w:ascii="Calibri" w:hAnsi="Calibri"/>
                <w:b/>
                <w:sz w:val="18"/>
                <w:szCs w:val="18"/>
              </w:rPr>
              <w:t>0,710</w:t>
            </w:r>
          </w:p>
        </w:tc>
      </w:tr>
      <w:tr w:rsidR="00FE7A56" w:rsidRPr="002A729A" w14:paraId="58082D88" w14:textId="77777777" w:rsidTr="00E64253">
        <w:trPr>
          <w:trHeight w:val="300"/>
        </w:trPr>
        <w:tc>
          <w:tcPr>
            <w:tcW w:w="3227" w:type="dxa"/>
            <w:vMerge/>
            <w:shd w:val="clear" w:color="auto" w:fill="FFFFFF" w:themeFill="background1"/>
            <w:noWrap/>
            <w:hideMark/>
          </w:tcPr>
          <w:p w14:paraId="576622FA" w14:textId="77777777" w:rsidR="00FE7A56" w:rsidRPr="00C851D8" w:rsidRDefault="00FE7A56" w:rsidP="00E64253">
            <w:pPr>
              <w:rPr>
                <w:b/>
                <w:sz w:val="18"/>
                <w:szCs w:val="18"/>
              </w:rPr>
            </w:pPr>
          </w:p>
        </w:tc>
        <w:tc>
          <w:tcPr>
            <w:tcW w:w="10631" w:type="dxa"/>
            <w:gridSpan w:val="10"/>
            <w:noWrap/>
            <w:vAlign w:val="bottom"/>
            <w:hideMark/>
          </w:tcPr>
          <w:p w14:paraId="0458A6EB" w14:textId="77777777" w:rsidR="00FE7A56" w:rsidRPr="00C851D8" w:rsidRDefault="00FE7A56" w:rsidP="00E64253">
            <w:pPr>
              <w:jc w:val="center"/>
              <w:rPr>
                <w:rFonts w:ascii="Calibri" w:hAnsi="Calibri"/>
                <w:b/>
                <w:sz w:val="18"/>
                <w:szCs w:val="18"/>
                <w:lang w:val="en-GB"/>
              </w:rPr>
            </w:pPr>
            <w:r w:rsidRPr="00C851D8">
              <w:rPr>
                <w:rFonts w:ascii="Calibri" w:hAnsi="Calibri"/>
                <w:b/>
                <w:sz w:val="18"/>
                <w:szCs w:val="18"/>
                <w:lang w:val="en-GB"/>
              </w:rPr>
              <w:t xml:space="preserve">Reference </w:t>
            </w:r>
            <w:r>
              <w:rPr>
                <w:rFonts w:ascii="Calibri" w:hAnsi="Calibri"/>
                <w:b/>
                <w:sz w:val="18"/>
                <w:szCs w:val="18"/>
                <w:lang w:val="en-GB"/>
              </w:rPr>
              <w:t>(mmol/L): M 10-15y: 3.082-5.232,</w:t>
            </w:r>
            <w:r w:rsidRPr="00C851D8">
              <w:rPr>
                <w:rFonts w:ascii="Calibri" w:hAnsi="Calibri"/>
                <w:b/>
                <w:sz w:val="18"/>
                <w:szCs w:val="18"/>
                <w:lang w:val="en-GB"/>
              </w:rPr>
              <w:t xml:space="preserve"> M 15-20y: 2.92</w:t>
            </w:r>
            <w:r>
              <w:rPr>
                <w:rFonts w:ascii="Calibri" w:hAnsi="Calibri"/>
                <w:b/>
                <w:sz w:val="18"/>
                <w:szCs w:val="18"/>
                <w:lang w:val="en-GB"/>
              </w:rPr>
              <w:t xml:space="preserve">7-5.102, F 10-15y: 3.212-5.206, </w:t>
            </w:r>
            <w:r w:rsidRPr="00C851D8">
              <w:rPr>
                <w:rFonts w:ascii="Calibri" w:hAnsi="Calibri"/>
                <w:b/>
                <w:sz w:val="18"/>
                <w:szCs w:val="18"/>
                <w:lang w:val="en-GB"/>
              </w:rPr>
              <w:t>F 15-20y: 3.108-5.258</w:t>
            </w:r>
          </w:p>
        </w:tc>
      </w:tr>
      <w:tr w:rsidR="00AF2F45" w:rsidRPr="00C851D8" w14:paraId="0CDEA737" w14:textId="77777777" w:rsidTr="006A7048">
        <w:trPr>
          <w:trHeight w:val="300"/>
        </w:trPr>
        <w:tc>
          <w:tcPr>
            <w:tcW w:w="3227" w:type="dxa"/>
            <w:vMerge w:val="restart"/>
            <w:shd w:val="clear" w:color="auto" w:fill="FFFFFF" w:themeFill="background1"/>
            <w:noWrap/>
            <w:hideMark/>
          </w:tcPr>
          <w:p w14:paraId="4CC7A208" w14:textId="136EED4D" w:rsidR="00AF2F45" w:rsidRPr="00FD0654" w:rsidRDefault="00AF2F45" w:rsidP="00AF2F45">
            <w:pPr>
              <w:rPr>
                <w:b/>
                <w:sz w:val="18"/>
                <w:szCs w:val="18"/>
                <w:lang w:val="en-GB"/>
              </w:rPr>
            </w:pPr>
            <w:r w:rsidRPr="00FD0654">
              <w:rPr>
                <w:b/>
                <w:sz w:val="18"/>
                <w:szCs w:val="18"/>
                <w:lang w:val="en-GB"/>
              </w:rPr>
              <w:t xml:space="preserve">High Density Lipoprotein </w:t>
            </w:r>
            <w:r w:rsidR="003557E0">
              <w:rPr>
                <w:b/>
                <w:sz w:val="18"/>
                <w:szCs w:val="18"/>
                <w:lang w:val="en-GB"/>
              </w:rPr>
              <w:t>(mmol/L)</w:t>
            </w:r>
          </w:p>
          <w:p w14:paraId="219FEEC4" w14:textId="77777777" w:rsidR="00AF2F45" w:rsidRPr="00C851D8" w:rsidRDefault="00AF2F45" w:rsidP="00AF2F45">
            <w:pPr>
              <w:rPr>
                <w:b/>
                <w:sz w:val="18"/>
                <w:szCs w:val="18"/>
                <w:lang w:val="en-GB"/>
              </w:rPr>
            </w:pPr>
            <w:r w:rsidRPr="00C851D8">
              <w:rPr>
                <w:sz w:val="16"/>
                <w:szCs w:val="16"/>
                <w:lang w:val="en-GB"/>
              </w:rPr>
              <w:t>Enzymatic colorimetric method (Roche Diagnostics c701 (a+b))</w:t>
            </w:r>
          </w:p>
        </w:tc>
        <w:tc>
          <w:tcPr>
            <w:tcW w:w="1044" w:type="dxa"/>
            <w:noWrap/>
            <w:vAlign w:val="bottom"/>
            <w:hideMark/>
          </w:tcPr>
          <w:p w14:paraId="0F979139" w14:textId="6F700726" w:rsidR="00AF2F45" w:rsidRDefault="00AF2F45" w:rsidP="00AF2F45">
            <w:pPr>
              <w:jc w:val="right"/>
              <w:rPr>
                <w:rFonts w:ascii="Calibri" w:hAnsi="Calibri"/>
                <w:color w:val="000000"/>
              </w:rPr>
            </w:pPr>
            <w:r>
              <w:rPr>
                <w:rFonts w:ascii="Calibri" w:hAnsi="Calibri"/>
                <w:color w:val="000000"/>
              </w:rPr>
              <w:t>1,278</w:t>
            </w:r>
          </w:p>
        </w:tc>
        <w:tc>
          <w:tcPr>
            <w:tcW w:w="1045" w:type="dxa"/>
            <w:noWrap/>
            <w:vAlign w:val="bottom"/>
            <w:hideMark/>
          </w:tcPr>
          <w:p w14:paraId="44AAFE24" w14:textId="25026070" w:rsidR="00AF2F45" w:rsidRDefault="00AF2F45" w:rsidP="00AF2F45">
            <w:pPr>
              <w:jc w:val="right"/>
              <w:rPr>
                <w:rFonts w:ascii="Calibri" w:hAnsi="Calibri"/>
                <w:color w:val="000000"/>
              </w:rPr>
            </w:pPr>
            <w:r>
              <w:rPr>
                <w:rFonts w:ascii="Calibri" w:hAnsi="Calibri"/>
                <w:color w:val="000000"/>
              </w:rPr>
              <w:t>1,172</w:t>
            </w:r>
          </w:p>
        </w:tc>
        <w:tc>
          <w:tcPr>
            <w:tcW w:w="1045" w:type="dxa"/>
            <w:noWrap/>
            <w:vAlign w:val="bottom"/>
            <w:hideMark/>
          </w:tcPr>
          <w:p w14:paraId="6EE47B06" w14:textId="477B0B93" w:rsidR="00AF2F45" w:rsidRPr="00C851D8" w:rsidRDefault="00AF2F45" w:rsidP="00AF2F45">
            <w:pPr>
              <w:jc w:val="right"/>
              <w:rPr>
                <w:rFonts w:ascii="Calibri" w:hAnsi="Calibri"/>
                <w:b/>
                <w:sz w:val="18"/>
                <w:szCs w:val="18"/>
              </w:rPr>
            </w:pPr>
            <w:r w:rsidRPr="00AF2F45">
              <w:rPr>
                <w:rFonts w:ascii="Calibri" w:hAnsi="Calibri"/>
                <w:b/>
                <w:sz w:val="18"/>
                <w:szCs w:val="18"/>
              </w:rPr>
              <w:t>0,091</w:t>
            </w:r>
          </w:p>
        </w:tc>
        <w:tc>
          <w:tcPr>
            <w:tcW w:w="1044" w:type="dxa"/>
            <w:noWrap/>
            <w:vAlign w:val="bottom"/>
            <w:hideMark/>
          </w:tcPr>
          <w:p w14:paraId="4E508E1D" w14:textId="4D9AF673" w:rsidR="00AF2F45" w:rsidRPr="00C0471C" w:rsidRDefault="00AF2F45" w:rsidP="00AF2F45">
            <w:pPr>
              <w:jc w:val="right"/>
              <w:rPr>
                <w:rFonts w:ascii="Calibri" w:hAnsi="Calibri"/>
                <w:color w:val="000000"/>
              </w:rPr>
            </w:pPr>
            <w:r>
              <w:rPr>
                <w:rFonts w:ascii="Calibri" w:hAnsi="Calibri"/>
                <w:color w:val="000000"/>
              </w:rPr>
              <w:t>1,105</w:t>
            </w:r>
          </w:p>
        </w:tc>
        <w:tc>
          <w:tcPr>
            <w:tcW w:w="1045" w:type="dxa"/>
            <w:noWrap/>
            <w:vAlign w:val="bottom"/>
            <w:hideMark/>
          </w:tcPr>
          <w:p w14:paraId="0368CEF9" w14:textId="4B4B73A6" w:rsidR="00AF2F45" w:rsidRPr="00C851D8" w:rsidRDefault="00AF2F45" w:rsidP="00AF2F45">
            <w:pPr>
              <w:jc w:val="right"/>
              <w:rPr>
                <w:rFonts w:ascii="Calibri" w:hAnsi="Calibri"/>
                <w:b/>
                <w:sz w:val="18"/>
                <w:szCs w:val="18"/>
              </w:rPr>
            </w:pPr>
            <w:r w:rsidRPr="00AF2F45">
              <w:rPr>
                <w:rFonts w:ascii="Calibri" w:hAnsi="Calibri"/>
                <w:b/>
                <w:sz w:val="18"/>
                <w:szCs w:val="18"/>
              </w:rPr>
              <w:t>0,219</w:t>
            </w:r>
          </w:p>
        </w:tc>
        <w:tc>
          <w:tcPr>
            <w:tcW w:w="1045" w:type="dxa"/>
            <w:noWrap/>
            <w:vAlign w:val="bottom"/>
            <w:hideMark/>
          </w:tcPr>
          <w:p w14:paraId="66D8D12A" w14:textId="32110866" w:rsidR="00AF2F45" w:rsidRDefault="00AF2F45" w:rsidP="00AF2F45">
            <w:pPr>
              <w:jc w:val="right"/>
              <w:rPr>
                <w:rFonts w:ascii="Calibri" w:hAnsi="Calibri"/>
                <w:color w:val="000000"/>
              </w:rPr>
            </w:pPr>
            <w:r>
              <w:rPr>
                <w:rFonts w:ascii="Calibri" w:hAnsi="Calibri"/>
                <w:color w:val="000000"/>
              </w:rPr>
              <w:t>1,163</w:t>
            </w:r>
          </w:p>
        </w:tc>
        <w:tc>
          <w:tcPr>
            <w:tcW w:w="1044" w:type="dxa"/>
            <w:noWrap/>
            <w:vAlign w:val="bottom"/>
            <w:hideMark/>
          </w:tcPr>
          <w:p w14:paraId="26DD26A1" w14:textId="778A9519" w:rsidR="00AF2F45" w:rsidRDefault="00AF2F45" w:rsidP="00AF2F45">
            <w:pPr>
              <w:jc w:val="right"/>
              <w:rPr>
                <w:rFonts w:ascii="Calibri" w:hAnsi="Calibri"/>
                <w:color w:val="000000"/>
              </w:rPr>
            </w:pPr>
            <w:r>
              <w:rPr>
                <w:rFonts w:ascii="Calibri" w:hAnsi="Calibri"/>
                <w:color w:val="000000"/>
              </w:rPr>
              <w:t>1,224</w:t>
            </w:r>
          </w:p>
        </w:tc>
        <w:tc>
          <w:tcPr>
            <w:tcW w:w="1193" w:type="dxa"/>
            <w:noWrap/>
            <w:vAlign w:val="bottom"/>
            <w:hideMark/>
          </w:tcPr>
          <w:p w14:paraId="0D1FB752" w14:textId="43AA7E71" w:rsidR="00AF2F45" w:rsidRPr="00C851D8" w:rsidRDefault="00AF2F45" w:rsidP="00AF2F45">
            <w:pPr>
              <w:jc w:val="right"/>
              <w:rPr>
                <w:rFonts w:ascii="Calibri" w:hAnsi="Calibri"/>
                <w:b/>
                <w:sz w:val="18"/>
                <w:szCs w:val="18"/>
              </w:rPr>
            </w:pPr>
            <w:r w:rsidRPr="00AF2F45">
              <w:rPr>
                <w:rFonts w:ascii="Calibri" w:hAnsi="Calibri"/>
                <w:b/>
                <w:sz w:val="18"/>
                <w:szCs w:val="18"/>
              </w:rPr>
              <w:t>0,954</w:t>
            </w:r>
          </w:p>
        </w:tc>
        <w:tc>
          <w:tcPr>
            <w:tcW w:w="897" w:type="dxa"/>
            <w:noWrap/>
            <w:vAlign w:val="bottom"/>
            <w:hideMark/>
          </w:tcPr>
          <w:p w14:paraId="14C88D8C" w14:textId="61D8BAE8" w:rsidR="00AF2F45" w:rsidRPr="00C0471C" w:rsidRDefault="00AF2F45" w:rsidP="00AF2F45">
            <w:pPr>
              <w:jc w:val="right"/>
              <w:rPr>
                <w:rFonts w:ascii="Calibri" w:hAnsi="Calibri"/>
                <w:color w:val="000000"/>
              </w:rPr>
            </w:pPr>
            <w:r>
              <w:rPr>
                <w:rFonts w:ascii="Calibri" w:hAnsi="Calibri"/>
                <w:color w:val="000000"/>
              </w:rPr>
              <w:t>1,308</w:t>
            </w:r>
          </w:p>
        </w:tc>
        <w:tc>
          <w:tcPr>
            <w:tcW w:w="1229" w:type="dxa"/>
            <w:noWrap/>
            <w:vAlign w:val="bottom"/>
            <w:hideMark/>
          </w:tcPr>
          <w:p w14:paraId="6CEAF5A5" w14:textId="2725A8BF" w:rsidR="00AF2F45" w:rsidRPr="00C851D8" w:rsidRDefault="00AF2F45" w:rsidP="00AF2F45">
            <w:pPr>
              <w:jc w:val="right"/>
              <w:rPr>
                <w:rFonts w:ascii="Calibri" w:hAnsi="Calibri"/>
                <w:b/>
                <w:sz w:val="18"/>
                <w:szCs w:val="18"/>
              </w:rPr>
            </w:pPr>
            <w:r w:rsidRPr="00AF2F45">
              <w:rPr>
                <w:rFonts w:ascii="Calibri" w:hAnsi="Calibri"/>
                <w:b/>
                <w:sz w:val="18"/>
                <w:szCs w:val="18"/>
              </w:rPr>
              <w:t>0,095</w:t>
            </w:r>
          </w:p>
        </w:tc>
      </w:tr>
      <w:tr w:rsidR="00FE7A56" w:rsidRPr="002A729A" w14:paraId="1535DF48" w14:textId="77777777" w:rsidTr="00E64253">
        <w:trPr>
          <w:trHeight w:val="300"/>
        </w:trPr>
        <w:tc>
          <w:tcPr>
            <w:tcW w:w="3227" w:type="dxa"/>
            <w:vMerge/>
            <w:shd w:val="clear" w:color="auto" w:fill="FFFFFF" w:themeFill="background1"/>
            <w:noWrap/>
            <w:hideMark/>
          </w:tcPr>
          <w:p w14:paraId="54C1AE97" w14:textId="77777777" w:rsidR="00FE7A56" w:rsidRPr="00C851D8" w:rsidRDefault="00FE7A56" w:rsidP="00E64253">
            <w:pPr>
              <w:rPr>
                <w:b/>
                <w:sz w:val="18"/>
                <w:szCs w:val="18"/>
              </w:rPr>
            </w:pPr>
          </w:p>
        </w:tc>
        <w:tc>
          <w:tcPr>
            <w:tcW w:w="10631" w:type="dxa"/>
            <w:gridSpan w:val="10"/>
            <w:noWrap/>
            <w:vAlign w:val="bottom"/>
            <w:hideMark/>
          </w:tcPr>
          <w:p w14:paraId="2553A6E1" w14:textId="77777777" w:rsidR="00FE7A56" w:rsidRPr="00C851D8" w:rsidRDefault="00FE7A56" w:rsidP="00E64253">
            <w:pPr>
              <w:jc w:val="center"/>
              <w:rPr>
                <w:rFonts w:ascii="Calibri" w:hAnsi="Calibri"/>
                <w:b/>
                <w:sz w:val="18"/>
                <w:szCs w:val="18"/>
                <w:lang w:val="en-GB"/>
              </w:rPr>
            </w:pPr>
            <w:r w:rsidRPr="00C851D8">
              <w:rPr>
                <w:rFonts w:ascii="Calibri" w:hAnsi="Calibri"/>
                <w:b/>
                <w:sz w:val="18"/>
                <w:szCs w:val="18"/>
                <w:lang w:val="en-GB"/>
              </w:rPr>
              <w:t>Reference (mmol/L): M: 0.829-1.865, F: 1.010-2.486</w:t>
            </w:r>
          </w:p>
        </w:tc>
      </w:tr>
      <w:tr w:rsidR="002F1815" w:rsidRPr="00C851D8" w14:paraId="69B1D3F3" w14:textId="77777777" w:rsidTr="006A7048">
        <w:trPr>
          <w:trHeight w:val="300"/>
        </w:trPr>
        <w:tc>
          <w:tcPr>
            <w:tcW w:w="3227" w:type="dxa"/>
            <w:vMerge w:val="restart"/>
            <w:shd w:val="clear" w:color="auto" w:fill="FFFFFF" w:themeFill="background1"/>
            <w:noWrap/>
            <w:hideMark/>
          </w:tcPr>
          <w:p w14:paraId="4EC382F4" w14:textId="004A9B9C" w:rsidR="002F1815" w:rsidRPr="003557E0" w:rsidRDefault="002F1815" w:rsidP="002F1815">
            <w:pPr>
              <w:rPr>
                <w:b/>
                <w:sz w:val="18"/>
                <w:szCs w:val="18"/>
                <w:lang w:val="en-US"/>
              </w:rPr>
            </w:pPr>
            <w:r w:rsidRPr="003557E0">
              <w:rPr>
                <w:b/>
                <w:sz w:val="18"/>
                <w:szCs w:val="18"/>
                <w:lang w:val="en-US"/>
              </w:rPr>
              <w:t>Low Density Lipoprotein</w:t>
            </w:r>
            <w:r w:rsidR="003557E0" w:rsidRPr="003557E0">
              <w:rPr>
                <w:b/>
                <w:sz w:val="18"/>
                <w:szCs w:val="18"/>
                <w:lang w:val="en-US"/>
              </w:rPr>
              <w:t xml:space="preserve"> (mmol/L)</w:t>
            </w:r>
          </w:p>
          <w:p w14:paraId="3D83B484" w14:textId="77777777" w:rsidR="002F1815" w:rsidRPr="003557E0" w:rsidRDefault="002F1815" w:rsidP="002F1815">
            <w:pPr>
              <w:rPr>
                <w:b/>
                <w:sz w:val="18"/>
                <w:szCs w:val="18"/>
                <w:lang w:val="en-US"/>
              </w:rPr>
            </w:pPr>
            <w:r w:rsidRPr="00C851D8">
              <w:rPr>
                <w:sz w:val="16"/>
                <w:szCs w:val="16"/>
                <w:lang w:val="en-GB"/>
              </w:rPr>
              <w:t>Calculated</w:t>
            </w:r>
          </w:p>
        </w:tc>
        <w:tc>
          <w:tcPr>
            <w:tcW w:w="1044" w:type="dxa"/>
            <w:noWrap/>
            <w:vAlign w:val="bottom"/>
            <w:hideMark/>
          </w:tcPr>
          <w:p w14:paraId="00B0F8AF" w14:textId="0677B1DD" w:rsidR="002F1815" w:rsidRDefault="002F1815" w:rsidP="002F1815">
            <w:pPr>
              <w:jc w:val="right"/>
              <w:rPr>
                <w:rFonts w:ascii="Calibri" w:hAnsi="Calibri"/>
                <w:color w:val="000000"/>
              </w:rPr>
            </w:pPr>
            <w:r>
              <w:rPr>
                <w:rFonts w:ascii="Calibri" w:hAnsi="Calibri"/>
                <w:color w:val="000000"/>
              </w:rPr>
              <w:t>2,099</w:t>
            </w:r>
          </w:p>
        </w:tc>
        <w:tc>
          <w:tcPr>
            <w:tcW w:w="1045" w:type="dxa"/>
            <w:noWrap/>
            <w:vAlign w:val="bottom"/>
            <w:hideMark/>
          </w:tcPr>
          <w:p w14:paraId="2041050D" w14:textId="46DE0322" w:rsidR="002F1815" w:rsidRDefault="002F1815" w:rsidP="002F1815">
            <w:pPr>
              <w:jc w:val="right"/>
              <w:rPr>
                <w:rFonts w:ascii="Calibri" w:hAnsi="Calibri"/>
                <w:color w:val="000000"/>
              </w:rPr>
            </w:pPr>
            <w:r>
              <w:rPr>
                <w:rFonts w:ascii="Calibri" w:hAnsi="Calibri"/>
                <w:color w:val="000000"/>
              </w:rPr>
              <w:t>2,039</w:t>
            </w:r>
          </w:p>
        </w:tc>
        <w:tc>
          <w:tcPr>
            <w:tcW w:w="1045" w:type="dxa"/>
            <w:noWrap/>
            <w:vAlign w:val="bottom"/>
            <w:hideMark/>
          </w:tcPr>
          <w:p w14:paraId="796B9564" w14:textId="66AD1035" w:rsidR="002F1815" w:rsidRPr="00C851D8" w:rsidRDefault="002F1815" w:rsidP="002F1815">
            <w:pPr>
              <w:jc w:val="right"/>
              <w:rPr>
                <w:rFonts w:ascii="Calibri" w:hAnsi="Calibri"/>
                <w:b/>
                <w:sz w:val="18"/>
                <w:szCs w:val="18"/>
              </w:rPr>
            </w:pPr>
            <w:r w:rsidRPr="002F1815">
              <w:rPr>
                <w:rFonts w:ascii="Calibri" w:hAnsi="Calibri"/>
                <w:b/>
                <w:sz w:val="18"/>
                <w:szCs w:val="18"/>
              </w:rPr>
              <w:t>0,766</w:t>
            </w:r>
          </w:p>
        </w:tc>
        <w:tc>
          <w:tcPr>
            <w:tcW w:w="1044" w:type="dxa"/>
            <w:noWrap/>
            <w:vAlign w:val="bottom"/>
            <w:hideMark/>
          </w:tcPr>
          <w:p w14:paraId="2F4F2895" w14:textId="5F570101" w:rsidR="002F1815" w:rsidRPr="00C0471C" w:rsidRDefault="002F1815" w:rsidP="002F1815">
            <w:pPr>
              <w:jc w:val="right"/>
              <w:rPr>
                <w:rFonts w:ascii="Calibri" w:hAnsi="Calibri"/>
                <w:color w:val="000000"/>
              </w:rPr>
            </w:pPr>
            <w:r>
              <w:rPr>
                <w:rFonts w:ascii="Calibri" w:hAnsi="Calibri"/>
                <w:color w:val="000000"/>
              </w:rPr>
              <w:t>2,361</w:t>
            </w:r>
          </w:p>
        </w:tc>
        <w:tc>
          <w:tcPr>
            <w:tcW w:w="1045" w:type="dxa"/>
            <w:noWrap/>
            <w:vAlign w:val="bottom"/>
            <w:hideMark/>
          </w:tcPr>
          <w:p w14:paraId="0AD4B91E" w14:textId="33BA9B7A" w:rsidR="002F1815" w:rsidRPr="00C851D8" w:rsidRDefault="002F1815" w:rsidP="002F1815">
            <w:pPr>
              <w:jc w:val="right"/>
              <w:rPr>
                <w:rFonts w:ascii="Calibri" w:hAnsi="Calibri"/>
                <w:b/>
                <w:sz w:val="18"/>
                <w:szCs w:val="18"/>
              </w:rPr>
            </w:pPr>
            <w:r w:rsidRPr="002F1815">
              <w:rPr>
                <w:rFonts w:ascii="Calibri" w:hAnsi="Calibri"/>
                <w:b/>
                <w:sz w:val="18"/>
                <w:szCs w:val="18"/>
              </w:rPr>
              <w:t>0,788</w:t>
            </w:r>
          </w:p>
        </w:tc>
        <w:tc>
          <w:tcPr>
            <w:tcW w:w="1045" w:type="dxa"/>
            <w:noWrap/>
            <w:vAlign w:val="bottom"/>
            <w:hideMark/>
          </w:tcPr>
          <w:p w14:paraId="1DCE7756" w14:textId="19221D6F" w:rsidR="002F1815" w:rsidRDefault="002F1815" w:rsidP="002F1815">
            <w:pPr>
              <w:jc w:val="right"/>
              <w:rPr>
                <w:rFonts w:ascii="Calibri" w:hAnsi="Calibri"/>
                <w:color w:val="000000"/>
              </w:rPr>
            </w:pPr>
            <w:r>
              <w:rPr>
                <w:rFonts w:ascii="Calibri" w:hAnsi="Calibri"/>
                <w:color w:val="000000"/>
              </w:rPr>
              <w:t>2,118</w:t>
            </w:r>
          </w:p>
        </w:tc>
        <w:tc>
          <w:tcPr>
            <w:tcW w:w="1044" w:type="dxa"/>
            <w:noWrap/>
            <w:vAlign w:val="bottom"/>
            <w:hideMark/>
          </w:tcPr>
          <w:p w14:paraId="14C4E401" w14:textId="605AD0D9" w:rsidR="002F1815" w:rsidRDefault="002F1815" w:rsidP="002F1815">
            <w:pPr>
              <w:jc w:val="right"/>
              <w:rPr>
                <w:rFonts w:ascii="Calibri" w:hAnsi="Calibri"/>
                <w:color w:val="000000"/>
              </w:rPr>
            </w:pPr>
            <w:r>
              <w:rPr>
                <w:rFonts w:ascii="Calibri" w:hAnsi="Calibri"/>
                <w:color w:val="000000"/>
              </w:rPr>
              <w:t>1,741</w:t>
            </w:r>
          </w:p>
        </w:tc>
        <w:tc>
          <w:tcPr>
            <w:tcW w:w="1193" w:type="dxa"/>
            <w:noWrap/>
            <w:vAlign w:val="bottom"/>
            <w:hideMark/>
          </w:tcPr>
          <w:p w14:paraId="606BB1F5" w14:textId="19678EAD" w:rsidR="002F1815" w:rsidRPr="00C851D8" w:rsidRDefault="002F1815" w:rsidP="002F1815">
            <w:pPr>
              <w:jc w:val="right"/>
              <w:rPr>
                <w:rFonts w:ascii="Calibri" w:hAnsi="Calibri"/>
                <w:b/>
                <w:sz w:val="18"/>
                <w:szCs w:val="18"/>
              </w:rPr>
            </w:pPr>
            <w:r w:rsidRPr="002F1815">
              <w:rPr>
                <w:rFonts w:ascii="Calibri" w:hAnsi="Calibri"/>
                <w:b/>
                <w:sz w:val="18"/>
                <w:szCs w:val="18"/>
              </w:rPr>
              <w:t>0,571</w:t>
            </w:r>
          </w:p>
        </w:tc>
        <w:tc>
          <w:tcPr>
            <w:tcW w:w="897" w:type="dxa"/>
            <w:noWrap/>
            <w:vAlign w:val="bottom"/>
            <w:hideMark/>
          </w:tcPr>
          <w:p w14:paraId="1E96FBAB" w14:textId="0E6D0427" w:rsidR="002F1815" w:rsidRPr="00C0471C" w:rsidRDefault="002F1815" w:rsidP="002F1815">
            <w:pPr>
              <w:jc w:val="right"/>
              <w:rPr>
                <w:rFonts w:ascii="Calibri" w:hAnsi="Calibri"/>
                <w:color w:val="000000"/>
              </w:rPr>
            </w:pPr>
            <w:r>
              <w:rPr>
                <w:rFonts w:ascii="Calibri" w:hAnsi="Calibri"/>
                <w:color w:val="000000"/>
              </w:rPr>
              <w:t>2,152</w:t>
            </w:r>
          </w:p>
        </w:tc>
        <w:tc>
          <w:tcPr>
            <w:tcW w:w="1229" w:type="dxa"/>
            <w:noWrap/>
            <w:vAlign w:val="bottom"/>
            <w:hideMark/>
          </w:tcPr>
          <w:p w14:paraId="214185AC" w14:textId="7D102E9C" w:rsidR="002F1815" w:rsidRPr="00C851D8" w:rsidRDefault="002F1815" w:rsidP="002F1815">
            <w:pPr>
              <w:jc w:val="right"/>
              <w:rPr>
                <w:rFonts w:ascii="Calibri" w:hAnsi="Calibri"/>
                <w:b/>
                <w:sz w:val="18"/>
                <w:szCs w:val="18"/>
              </w:rPr>
            </w:pPr>
            <w:r w:rsidRPr="002F1815">
              <w:rPr>
                <w:rFonts w:ascii="Calibri" w:hAnsi="Calibri"/>
                <w:b/>
                <w:sz w:val="18"/>
                <w:szCs w:val="18"/>
              </w:rPr>
              <w:t>0,552</w:t>
            </w:r>
          </w:p>
        </w:tc>
      </w:tr>
      <w:tr w:rsidR="00FE7A56" w:rsidRPr="002A729A" w14:paraId="29BDFABD" w14:textId="77777777" w:rsidTr="00E64253">
        <w:trPr>
          <w:trHeight w:val="300"/>
        </w:trPr>
        <w:tc>
          <w:tcPr>
            <w:tcW w:w="3227" w:type="dxa"/>
            <w:vMerge/>
            <w:shd w:val="clear" w:color="auto" w:fill="FFFFFF" w:themeFill="background1"/>
            <w:noWrap/>
            <w:hideMark/>
          </w:tcPr>
          <w:p w14:paraId="661D0185" w14:textId="77777777" w:rsidR="00FE7A56" w:rsidRPr="00C851D8" w:rsidRDefault="00FE7A56" w:rsidP="00E64253">
            <w:pPr>
              <w:rPr>
                <w:b/>
                <w:sz w:val="18"/>
                <w:szCs w:val="18"/>
              </w:rPr>
            </w:pPr>
          </w:p>
        </w:tc>
        <w:tc>
          <w:tcPr>
            <w:tcW w:w="10631" w:type="dxa"/>
            <w:gridSpan w:val="10"/>
            <w:noWrap/>
            <w:vAlign w:val="bottom"/>
            <w:hideMark/>
          </w:tcPr>
          <w:p w14:paraId="01D028E8" w14:textId="77777777" w:rsidR="00FE7A56" w:rsidRPr="00C851D8" w:rsidRDefault="00FE7A56" w:rsidP="00E64253">
            <w:pPr>
              <w:jc w:val="center"/>
              <w:rPr>
                <w:rFonts w:ascii="Calibri" w:hAnsi="Calibri"/>
                <w:b/>
                <w:sz w:val="18"/>
                <w:szCs w:val="18"/>
                <w:lang w:val="en-GB"/>
              </w:rPr>
            </w:pPr>
            <w:r w:rsidRPr="00C851D8">
              <w:rPr>
                <w:rFonts w:ascii="Calibri" w:hAnsi="Calibri"/>
                <w:b/>
                <w:sz w:val="18"/>
                <w:szCs w:val="18"/>
                <w:lang w:val="en-GB"/>
              </w:rPr>
              <w:t>Reference (mmol/L): M&lt;20y: 1.606-3.626, F&lt;20y: 1.735-3.626</w:t>
            </w:r>
          </w:p>
        </w:tc>
      </w:tr>
      <w:tr w:rsidR="00AF5C1D" w:rsidRPr="00C851D8" w14:paraId="52E24E7D" w14:textId="77777777" w:rsidTr="006A7048">
        <w:trPr>
          <w:trHeight w:val="300"/>
        </w:trPr>
        <w:tc>
          <w:tcPr>
            <w:tcW w:w="3227" w:type="dxa"/>
            <w:vMerge w:val="restart"/>
            <w:shd w:val="clear" w:color="auto" w:fill="FFFFFF" w:themeFill="background1"/>
            <w:noWrap/>
            <w:hideMark/>
          </w:tcPr>
          <w:p w14:paraId="11B7E51F" w14:textId="43DB43BD" w:rsidR="00AF5C1D" w:rsidRPr="00FD0654" w:rsidRDefault="00AF5C1D" w:rsidP="00AF5C1D">
            <w:pPr>
              <w:rPr>
                <w:b/>
                <w:sz w:val="18"/>
                <w:szCs w:val="18"/>
                <w:lang w:val="en-GB"/>
              </w:rPr>
            </w:pPr>
            <w:r w:rsidRPr="00FD0654">
              <w:rPr>
                <w:b/>
                <w:sz w:val="18"/>
                <w:szCs w:val="18"/>
                <w:lang w:val="en-GB"/>
              </w:rPr>
              <w:t>Thyroid Stimulating Hormone</w:t>
            </w:r>
            <w:r w:rsidR="003557E0">
              <w:rPr>
                <w:b/>
                <w:sz w:val="18"/>
                <w:szCs w:val="18"/>
                <w:lang w:val="en-GB"/>
              </w:rPr>
              <w:t xml:space="preserve"> (mIU/L)</w:t>
            </w:r>
          </w:p>
          <w:p w14:paraId="56DD90C8" w14:textId="77777777" w:rsidR="00AF5C1D" w:rsidRPr="00C851D8" w:rsidRDefault="00AF5C1D" w:rsidP="00AF5C1D">
            <w:pPr>
              <w:rPr>
                <w:b/>
                <w:sz w:val="18"/>
                <w:szCs w:val="18"/>
                <w:lang w:val="en-GB"/>
              </w:rPr>
            </w:pPr>
            <w:r w:rsidRPr="00C851D8">
              <w:rPr>
                <w:sz w:val="16"/>
                <w:szCs w:val="16"/>
                <w:lang w:val="en-GB"/>
              </w:rPr>
              <w:t>Electro-chemoluminescence assay (Roche Diagnostics E170 Modular)</w:t>
            </w:r>
          </w:p>
        </w:tc>
        <w:tc>
          <w:tcPr>
            <w:tcW w:w="1044" w:type="dxa"/>
            <w:noWrap/>
            <w:vAlign w:val="bottom"/>
            <w:hideMark/>
          </w:tcPr>
          <w:p w14:paraId="0D081D2E" w14:textId="6975DDEF" w:rsidR="00AF5C1D" w:rsidRDefault="00AF5C1D" w:rsidP="00AF5C1D">
            <w:pPr>
              <w:jc w:val="right"/>
              <w:rPr>
                <w:rFonts w:ascii="Calibri" w:hAnsi="Calibri"/>
                <w:color w:val="000000"/>
              </w:rPr>
            </w:pPr>
            <w:r>
              <w:rPr>
                <w:rFonts w:ascii="Calibri" w:hAnsi="Calibri"/>
                <w:color w:val="000000"/>
              </w:rPr>
              <w:t>2,2036</w:t>
            </w:r>
          </w:p>
        </w:tc>
        <w:tc>
          <w:tcPr>
            <w:tcW w:w="1045" w:type="dxa"/>
            <w:noWrap/>
            <w:vAlign w:val="bottom"/>
            <w:hideMark/>
          </w:tcPr>
          <w:p w14:paraId="0B541CFF" w14:textId="6C785342" w:rsidR="00AF5C1D" w:rsidRDefault="00AF5C1D" w:rsidP="00AF5C1D">
            <w:pPr>
              <w:jc w:val="right"/>
              <w:rPr>
                <w:rFonts w:ascii="Calibri" w:hAnsi="Calibri"/>
                <w:color w:val="000000"/>
              </w:rPr>
            </w:pPr>
            <w:r>
              <w:rPr>
                <w:rFonts w:ascii="Calibri" w:hAnsi="Calibri"/>
                <w:color w:val="000000"/>
              </w:rPr>
              <w:t>2,1945</w:t>
            </w:r>
          </w:p>
        </w:tc>
        <w:tc>
          <w:tcPr>
            <w:tcW w:w="1045" w:type="dxa"/>
            <w:noWrap/>
            <w:vAlign w:val="bottom"/>
            <w:hideMark/>
          </w:tcPr>
          <w:p w14:paraId="34E9075A" w14:textId="458F4EF0" w:rsidR="00AF5C1D" w:rsidRPr="00C851D8" w:rsidRDefault="00AF5C1D" w:rsidP="00AF5C1D">
            <w:pPr>
              <w:jc w:val="right"/>
              <w:rPr>
                <w:rFonts w:ascii="Calibri" w:hAnsi="Calibri"/>
                <w:b/>
                <w:sz w:val="18"/>
                <w:szCs w:val="18"/>
              </w:rPr>
            </w:pPr>
            <w:r w:rsidRPr="00AF5C1D">
              <w:rPr>
                <w:rFonts w:ascii="Calibri" w:hAnsi="Calibri"/>
                <w:b/>
                <w:sz w:val="18"/>
                <w:szCs w:val="18"/>
              </w:rPr>
              <w:t>0,546</w:t>
            </w:r>
          </w:p>
        </w:tc>
        <w:tc>
          <w:tcPr>
            <w:tcW w:w="1044" w:type="dxa"/>
            <w:noWrap/>
            <w:vAlign w:val="bottom"/>
            <w:hideMark/>
          </w:tcPr>
          <w:p w14:paraId="6ACBE1AF" w14:textId="562F319F" w:rsidR="00AF5C1D" w:rsidRPr="00C0471C" w:rsidRDefault="00AF5C1D" w:rsidP="00AF5C1D">
            <w:pPr>
              <w:jc w:val="right"/>
              <w:rPr>
                <w:rFonts w:ascii="Calibri" w:hAnsi="Calibri"/>
                <w:color w:val="000000"/>
              </w:rPr>
            </w:pPr>
            <w:r>
              <w:rPr>
                <w:rFonts w:ascii="Calibri" w:hAnsi="Calibri"/>
                <w:color w:val="000000"/>
              </w:rPr>
              <w:t>2,1743</w:t>
            </w:r>
          </w:p>
        </w:tc>
        <w:tc>
          <w:tcPr>
            <w:tcW w:w="1045" w:type="dxa"/>
            <w:noWrap/>
            <w:vAlign w:val="bottom"/>
            <w:hideMark/>
          </w:tcPr>
          <w:p w14:paraId="2A9DD62F" w14:textId="7A34198E" w:rsidR="00AF5C1D" w:rsidRPr="00C851D8" w:rsidRDefault="00AF5C1D" w:rsidP="00AF5C1D">
            <w:pPr>
              <w:jc w:val="right"/>
              <w:rPr>
                <w:rFonts w:ascii="Calibri" w:hAnsi="Calibri"/>
                <w:b/>
                <w:sz w:val="18"/>
                <w:szCs w:val="18"/>
              </w:rPr>
            </w:pPr>
            <w:r w:rsidRPr="00AF5C1D">
              <w:rPr>
                <w:rFonts w:ascii="Calibri" w:hAnsi="Calibri"/>
                <w:b/>
                <w:sz w:val="18"/>
                <w:szCs w:val="18"/>
              </w:rPr>
              <w:t>0,917</w:t>
            </w:r>
          </w:p>
        </w:tc>
        <w:tc>
          <w:tcPr>
            <w:tcW w:w="1045" w:type="dxa"/>
            <w:noWrap/>
            <w:vAlign w:val="bottom"/>
            <w:hideMark/>
          </w:tcPr>
          <w:p w14:paraId="042E9A3A" w14:textId="1B3B1D84" w:rsidR="00AF5C1D" w:rsidRDefault="00AF5C1D" w:rsidP="00AF5C1D">
            <w:pPr>
              <w:jc w:val="right"/>
              <w:rPr>
                <w:rFonts w:ascii="Calibri" w:hAnsi="Calibri"/>
                <w:color w:val="000000"/>
              </w:rPr>
            </w:pPr>
            <w:r>
              <w:rPr>
                <w:rFonts w:ascii="Calibri" w:hAnsi="Calibri"/>
                <w:color w:val="000000"/>
              </w:rPr>
              <w:t>2,3944</w:t>
            </w:r>
          </w:p>
        </w:tc>
        <w:tc>
          <w:tcPr>
            <w:tcW w:w="1044" w:type="dxa"/>
            <w:noWrap/>
            <w:vAlign w:val="bottom"/>
            <w:hideMark/>
          </w:tcPr>
          <w:p w14:paraId="0ADF4BAF" w14:textId="717A5C12" w:rsidR="00AF5C1D" w:rsidRDefault="00AF5C1D" w:rsidP="00AF5C1D">
            <w:pPr>
              <w:jc w:val="right"/>
              <w:rPr>
                <w:rFonts w:ascii="Calibri" w:hAnsi="Calibri"/>
                <w:color w:val="000000"/>
              </w:rPr>
            </w:pPr>
            <w:r>
              <w:rPr>
                <w:rFonts w:ascii="Calibri" w:hAnsi="Calibri"/>
                <w:color w:val="000000"/>
              </w:rPr>
              <w:t>1,7436</w:t>
            </w:r>
          </w:p>
        </w:tc>
        <w:tc>
          <w:tcPr>
            <w:tcW w:w="1193" w:type="dxa"/>
            <w:noWrap/>
            <w:vAlign w:val="bottom"/>
            <w:hideMark/>
          </w:tcPr>
          <w:p w14:paraId="33673D49" w14:textId="53A6BA77" w:rsidR="00AF5C1D" w:rsidRPr="00C851D8" w:rsidRDefault="00AF5C1D" w:rsidP="00AF5C1D">
            <w:pPr>
              <w:jc w:val="right"/>
              <w:rPr>
                <w:rFonts w:ascii="Calibri" w:hAnsi="Calibri"/>
                <w:b/>
                <w:sz w:val="18"/>
                <w:szCs w:val="18"/>
              </w:rPr>
            </w:pPr>
            <w:r w:rsidRPr="00AF5C1D">
              <w:rPr>
                <w:rFonts w:ascii="Calibri" w:hAnsi="Calibri"/>
                <w:b/>
                <w:sz w:val="18"/>
                <w:szCs w:val="18"/>
              </w:rPr>
              <w:t>0,05</w:t>
            </w:r>
          </w:p>
        </w:tc>
        <w:tc>
          <w:tcPr>
            <w:tcW w:w="897" w:type="dxa"/>
            <w:noWrap/>
            <w:vAlign w:val="bottom"/>
            <w:hideMark/>
          </w:tcPr>
          <w:p w14:paraId="1AA6E2A7" w14:textId="125CF3B1" w:rsidR="00AF5C1D" w:rsidRPr="00C0471C" w:rsidRDefault="00AF5C1D" w:rsidP="00AF5C1D">
            <w:pPr>
              <w:jc w:val="right"/>
              <w:rPr>
                <w:rFonts w:ascii="Calibri" w:hAnsi="Calibri"/>
                <w:color w:val="000000"/>
              </w:rPr>
            </w:pPr>
            <w:r>
              <w:rPr>
                <w:rFonts w:ascii="Calibri" w:hAnsi="Calibri"/>
                <w:color w:val="000000"/>
              </w:rPr>
              <w:t>1,9875</w:t>
            </w:r>
          </w:p>
        </w:tc>
        <w:tc>
          <w:tcPr>
            <w:tcW w:w="1229" w:type="dxa"/>
            <w:noWrap/>
            <w:vAlign w:val="bottom"/>
            <w:hideMark/>
          </w:tcPr>
          <w:p w14:paraId="0F51DEF0" w14:textId="2344D854" w:rsidR="00AF5C1D" w:rsidRPr="00C851D8" w:rsidRDefault="00AF5C1D" w:rsidP="00AF5C1D">
            <w:pPr>
              <w:jc w:val="right"/>
              <w:rPr>
                <w:rFonts w:ascii="Calibri" w:hAnsi="Calibri"/>
                <w:b/>
                <w:sz w:val="18"/>
                <w:szCs w:val="18"/>
              </w:rPr>
            </w:pPr>
            <w:r w:rsidRPr="00AF5C1D">
              <w:rPr>
                <w:rFonts w:ascii="Calibri" w:hAnsi="Calibri"/>
                <w:b/>
                <w:sz w:val="18"/>
                <w:szCs w:val="18"/>
              </w:rPr>
              <w:t>0,637</w:t>
            </w:r>
          </w:p>
        </w:tc>
      </w:tr>
      <w:tr w:rsidR="00FE7A56" w:rsidRPr="002A729A" w14:paraId="5816890A" w14:textId="77777777" w:rsidTr="00E64253">
        <w:trPr>
          <w:trHeight w:val="300"/>
        </w:trPr>
        <w:tc>
          <w:tcPr>
            <w:tcW w:w="3227" w:type="dxa"/>
            <w:vMerge/>
            <w:shd w:val="clear" w:color="auto" w:fill="FFFFFF" w:themeFill="background1"/>
            <w:noWrap/>
            <w:hideMark/>
          </w:tcPr>
          <w:p w14:paraId="4EE9FF2E" w14:textId="77777777" w:rsidR="00FE7A56" w:rsidRPr="00C851D8" w:rsidRDefault="00FE7A56" w:rsidP="00E64253">
            <w:pPr>
              <w:rPr>
                <w:b/>
                <w:sz w:val="18"/>
                <w:szCs w:val="18"/>
              </w:rPr>
            </w:pPr>
          </w:p>
        </w:tc>
        <w:tc>
          <w:tcPr>
            <w:tcW w:w="10631" w:type="dxa"/>
            <w:gridSpan w:val="10"/>
            <w:noWrap/>
            <w:vAlign w:val="bottom"/>
            <w:hideMark/>
          </w:tcPr>
          <w:p w14:paraId="01EF6586" w14:textId="77777777" w:rsidR="00FE7A56" w:rsidRPr="00C851D8" w:rsidRDefault="00FE7A56" w:rsidP="00E64253">
            <w:pPr>
              <w:jc w:val="center"/>
              <w:rPr>
                <w:rFonts w:ascii="Calibri" w:hAnsi="Calibri"/>
                <w:b/>
                <w:sz w:val="18"/>
                <w:szCs w:val="18"/>
                <w:lang w:val="en-GB"/>
              </w:rPr>
            </w:pPr>
            <w:r w:rsidRPr="00C851D8">
              <w:rPr>
                <w:rFonts w:ascii="Calibri" w:hAnsi="Calibri"/>
                <w:b/>
                <w:sz w:val="18"/>
                <w:szCs w:val="18"/>
                <w:lang w:val="en-GB"/>
              </w:rPr>
              <w:t>Reference (mIU/L): M/F 11-20y: 0,51-4,3</w:t>
            </w:r>
          </w:p>
        </w:tc>
      </w:tr>
      <w:tr w:rsidR="003B06D8" w:rsidRPr="00C851D8" w14:paraId="2916DC30" w14:textId="77777777" w:rsidTr="006A7048">
        <w:trPr>
          <w:trHeight w:val="300"/>
        </w:trPr>
        <w:tc>
          <w:tcPr>
            <w:tcW w:w="3227" w:type="dxa"/>
            <w:vMerge w:val="restart"/>
            <w:shd w:val="clear" w:color="auto" w:fill="FFFFFF" w:themeFill="background1"/>
            <w:noWrap/>
            <w:hideMark/>
          </w:tcPr>
          <w:p w14:paraId="739429C9" w14:textId="6B96C31F" w:rsidR="003B06D8" w:rsidRPr="00FD0654" w:rsidRDefault="003B06D8" w:rsidP="003B06D8">
            <w:pPr>
              <w:rPr>
                <w:b/>
                <w:sz w:val="18"/>
                <w:szCs w:val="18"/>
                <w:lang w:val="en-GB"/>
              </w:rPr>
            </w:pPr>
            <w:r w:rsidRPr="00FD0654">
              <w:rPr>
                <w:b/>
                <w:sz w:val="18"/>
                <w:szCs w:val="18"/>
                <w:lang w:val="en-GB"/>
              </w:rPr>
              <w:t>Free Thyroxin</w:t>
            </w:r>
            <w:r w:rsidR="003557E0">
              <w:rPr>
                <w:b/>
                <w:sz w:val="18"/>
                <w:szCs w:val="18"/>
                <w:lang w:val="en-GB"/>
              </w:rPr>
              <w:t xml:space="preserve"> (pmol/L)</w:t>
            </w:r>
          </w:p>
          <w:p w14:paraId="1613FD1B" w14:textId="77777777" w:rsidR="003B06D8" w:rsidRPr="00C851D8" w:rsidRDefault="003B06D8" w:rsidP="003B06D8">
            <w:pPr>
              <w:rPr>
                <w:b/>
                <w:sz w:val="18"/>
                <w:szCs w:val="18"/>
                <w:lang w:val="en-GB"/>
              </w:rPr>
            </w:pPr>
            <w:r w:rsidRPr="00C851D8">
              <w:rPr>
                <w:sz w:val="16"/>
                <w:szCs w:val="16"/>
                <w:lang w:val="en-GB"/>
              </w:rPr>
              <w:t>Electro-chemoluminescence assay (Roche Diagnostics E170 Modular)</w:t>
            </w:r>
          </w:p>
        </w:tc>
        <w:tc>
          <w:tcPr>
            <w:tcW w:w="1044" w:type="dxa"/>
            <w:noWrap/>
            <w:vAlign w:val="bottom"/>
            <w:hideMark/>
          </w:tcPr>
          <w:p w14:paraId="17E1BCAB" w14:textId="782B1F14" w:rsidR="003B06D8" w:rsidRDefault="003B06D8" w:rsidP="003B06D8">
            <w:pPr>
              <w:jc w:val="right"/>
              <w:rPr>
                <w:rFonts w:ascii="Calibri" w:hAnsi="Calibri"/>
                <w:color w:val="000000"/>
              </w:rPr>
            </w:pPr>
            <w:r>
              <w:rPr>
                <w:rFonts w:ascii="Calibri" w:hAnsi="Calibri"/>
                <w:color w:val="000000"/>
              </w:rPr>
              <w:t>16,786</w:t>
            </w:r>
          </w:p>
        </w:tc>
        <w:tc>
          <w:tcPr>
            <w:tcW w:w="1045" w:type="dxa"/>
            <w:noWrap/>
            <w:vAlign w:val="bottom"/>
            <w:hideMark/>
          </w:tcPr>
          <w:p w14:paraId="4A0FA704" w14:textId="1F16D7E6" w:rsidR="003B06D8" w:rsidRDefault="003B06D8" w:rsidP="003B06D8">
            <w:pPr>
              <w:jc w:val="right"/>
              <w:rPr>
                <w:rFonts w:ascii="Calibri" w:hAnsi="Calibri"/>
                <w:color w:val="000000"/>
              </w:rPr>
            </w:pPr>
            <w:r>
              <w:rPr>
                <w:rFonts w:ascii="Calibri" w:hAnsi="Calibri"/>
                <w:color w:val="000000"/>
              </w:rPr>
              <w:t>18,018</w:t>
            </w:r>
          </w:p>
        </w:tc>
        <w:tc>
          <w:tcPr>
            <w:tcW w:w="1045" w:type="dxa"/>
            <w:noWrap/>
            <w:vAlign w:val="bottom"/>
            <w:hideMark/>
          </w:tcPr>
          <w:p w14:paraId="55871573" w14:textId="29C697E2" w:rsidR="003B06D8" w:rsidRPr="00C851D8" w:rsidRDefault="003B06D8" w:rsidP="003B06D8">
            <w:pPr>
              <w:jc w:val="right"/>
              <w:rPr>
                <w:rFonts w:ascii="Calibri" w:hAnsi="Calibri"/>
                <w:b/>
                <w:sz w:val="18"/>
                <w:szCs w:val="18"/>
              </w:rPr>
            </w:pPr>
            <w:r w:rsidRPr="003B06D8">
              <w:rPr>
                <w:rFonts w:ascii="Calibri" w:hAnsi="Calibri"/>
                <w:b/>
                <w:sz w:val="18"/>
                <w:szCs w:val="18"/>
              </w:rPr>
              <w:t>0,031</w:t>
            </w:r>
          </w:p>
        </w:tc>
        <w:tc>
          <w:tcPr>
            <w:tcW w:w="1044" w:type="dxa"/>
            <w:noWrap/>
            <w:vAlign w:val="bottom"/>
            <w:hideMark/>
          </w:tcPr>
          <w:p w14:paraId="3A4EC42E" w14:textId="7A3D0171" w:rsidR="003B06D8" w:rsidRPr="00C0471C" w:rsidRDefault="003B06D8" w:rsidP="003B06D8">
            <w:pPr>
              <w:jc w:val="right"/>
              <w:rPr>
                <w:rFonts w:ascii="Calibri" w:hAnsi="Calibri"/>
                <w:color w:val="000000"/>
              </w:rPr>
            </w:pPr>
            <w:r>
              <w:rPr>
                <w:rFonts w:ascii="Calibri" w:hAnsi="Calibri"/>
                <w:color w:val="000000"/>
              </w:rPr>
              <w:t>18,501</w:t>
            </w:r>
          </w:p>
        </w:tc>
        <w:tc>
          <w:tcPr>
            <w:tcW w:w="1045" w:type="dxa"/>
            <w:noWrap/>
            <w:vAlign w:val="bottom"/>
            <w:hideMark/>
          </w:tcPr>
          <w:p w14:paraId="7AC8E5A9" w14:textId="259AF366" w:rsidR="003B06D8" w:rsidRPr="00C851D8" w:rsidRDefault="003B06D8" w:rsidP="003B06D8">
            <w:pPr>
              <w:jc w:val="right"/>
              <w:rPr>
                <w:rFonts w:ascii="Calibri" w:hAnsi="Calibri"/>
                <w:b/>
                <w:sz w:val="18"/>
                <w:szCs w:val="18"/>
              </w:rPr>
            </w:pPr>
            <w:r w:rsidRPr="003B06D8">
              <w:rPr>
                <w:rFonts w:ascii="Calibri" w:hAnsi="Calibri"/>
                <w:b/>
                <w:sz w:val="18"/>
                <w:szCs w:val="18"/>
              </w:rPr>
              <w:t>0,167</w:t>
            </w:r>
          </w:p>
        </w:tc>
        <w:tc>
          <w:tcPr>
            <w:tcW w:w="1045" w:type="dxa"/>
            <w:noWrap/>
            <w:vAlign w:val="bottom"/>
            <w:hideMark/>
          </w:tcPr>
          <w:p w14:paraId="081F7324" w14:textId="57E585FF" w:rsidR="003B06D8" w:rsidRDefault="003B06D8" w:rsidP="003B06D8">
            <w:pPr>
              <w:jc w:val="right"/>
              <w:rPr>
                <w:rFonts w:ascii="Calibri" w:hAnsi="Calibri"/>
                <w:color w:val="000000"/>
              </w:rPr>
            </w:pPr>
            <w:r>
              <w:rPr>
                <w:rFonts w:ascii="Calibri" w:hAnsi="Calibri"/>
                <w:color w:val="000000"/>
              </w:rPr>
              <w:t>18,472</w:t>
            </w:r>
          </w:p>
        </w:tc>
        <w:tc>
          <w:tcPr>
            <w:tcW w:w="1044" w:type="dxa"/>
            <w:noWrap/>
            <w:vAlign w:val="bottom"/>
            <w:hideMark/>
          </w:tcPr>
          <w:p w14:paraId="3990F18A" w14:textId="428C35D4" w:rsidR="003B06D8" w:rsidRDefault="003B06D8" w:rsidP="003B06D8">
            <w:pPr>
              <w:jc w:val="right"/>
              <w:rPr>
                <w:rFonts w:ascii="Calibri" w:hAnsi="Calibri"/>
                <w:color w:val="000000"/>
              </w:rPr>
            </w:pPr>
            <w:r>
              <w:rPr>
                <w:rFonts w:ascii="Calibri" w:hAnsi="Calibri"/>
                <w:color w:val="000000"/>
              </w:rPr>
              <w:t>18,447</w:t>
            </w:r>
          </w:p>
        </w:tc>
        <w:tc>
          <w:tcPr>
            <w:tcW w:w="1193" w:type="dxa"/>
            <w:noWrap/>
            <w:vAlign w:val="bottom"/>
            <w:hideMark/>
          </w:tcPr>
          <w:p w14:paraId="088EFD39" w14:textId="682D44CE" w:rsidR="003B06D8" w:rsidRPr="00C851D8" w:rsidRDefault="003B06D8" w:rsidP="003B06D8">
            <w:pPr>
              <w:jc w:val="right"/>
              <w:rPr>
                <w:rFonts w:ascii="Calibri" w:hAnsi="Calibri"/>
                <w:b/>
                <w:sz w:val="18"/>
                <w:szCs w:val="18"/>
              </w:rPr>
            </w:pPr>
            <w:r w:rsidRPr="003B06D8">
              <w:rPr>
                <w:rFonts w:ascii="Calibri" w:hAnsi="Calibri"/>
                <w:b/>
                <w:sz w:val="18"/>
                <w:szCs w:val="18"/>
              </w:rPr>
              <w:t>0,668</w:t>
            </w:r>
          </w:p>
        </w:tc>
        <w:tc>
          <w:tcPr>
            <w:tcW w:w="897" w:type="dxa"/>
            <w:noWrap/>
            <w:vAlign w:val="bottom"/>
            <w:hideMark/>
          </w:tcPr>
          <w:p w14:paraId="70952F1F" w14:textId="6EBA251B" w:rsidR="003B06D8" w:rsidRPr="00C0471C" w:rsidRDefault="003B06D8" w:rsidP="003B06D8">
            <w:pPr>
              <w:jc w:val="right"/>
              <w:rPr>
                <w:rFonts w:ascii="Calibri" w:hAnsi="Calibri"/>
                <w:color w:val="000000"/>
              </w:rPr>
            </w:pPr>
            <w:r>
              <w:rPr>
                <w:rFonts w:ascii="Calibri" w:hAnsi="Calibri"/>
                <w:color w:val="000000"/>
              </w:rPr>
              <w:t>18,501</w:t>
            </w:r>
          </w:p>
        </w:tc>
        <w:tc>
          <w:tcPr>
            <w:tcW w:w="1229" w:type="dxa"/>
            <w:noWrap/>
            <w:vAlign w:val="bottom"/>
            <w:hideMark/>
          </w:tcPr>
          <w:p w14:paraId="263DBA0A" w14:textId="6E53E6DE" w:rsidR="003B06D8" w:rsidRPr="00C851D8" w:rsidRDefault="003B06D8" w:rsidP="003B06D8">
            <w:pPr>
              <w:jc w:val="right"/>
              <w:rPr>
                <w:rFonts w:ascii="Calibri" w:hAnsi="Calibri"/>
                <w:b/>
                <w:sz w:val="18"/>
                <w:szCs w:val="18"/>
              </w:rPr>
            </w:pPr>
            <w:r w:rsidRPr="003B06D8">
              <w:rPr>
                <w:rFonts w:ascii="Calibri" w:hAnsi="Calibri"/>
                <w:b/>
                <w:sz w:val="18"/>
                <w:szCs w:val="18"/>
              </w:rPr>
              <w:t>0,822</w:t>
            </w:r>
          </w:p>
        </w:tc>
      </w:tr>
      <w:tr w:rsidR="00FE7A56" w:rsidRPr="002A729A" w14:paraId="2B8173AD" w14:textId="77777777" w:rsidTr="00E64253">
        <w:trPr>
          <w:trHeight w:val="300"/>
        </w:trPr>
        <w:tc>
          <w:tcPr>
            <w:tcW w:w="3227" w:type="dxa"/>
            <w:vMerge/>
            <w:shd w:val="clear" w:color="auto" w:fill="FFFFFF" w:themeFill="background1"/>
            <w:noWrap/>
            <w:hideMark/>
          </w:tcPr>
          <w:p w14:paraId="6D09ED02" w14:textId="77777777" w:rsidR="00FE7A56" w:rsidRPr="00C851D8" w:rsidRDefault="00FE7A56" w:rsidP="00E64253">
            <w:pPr>
              <w:rPr>
                <w:b/>
                <w:sz w:val="18"/>
                <w:szCs w:val="18"/>
              </w:rPr>
            </w:pPr>
          </w:p>
        </w:tc>
        <w:tc>
          <w:tcPr>
            <w:tcW w:w="10631" w:type="dxa"/>
            <w:gridSpan w:val="10"/>
            <w:noWrap/>
            <w:vAlign w:val="bottom"/>
            <w:hideMark/>
          </w:tcPr>
          <w:p w14:paraId="30D6622F" w14:textId="77777777" w:rsidR="00FE7A56" w:rsidRPr="00C851D8" w:rsidRDefault="00FE7A56" w:rsidP="00E64253">
            <w:pPr>
              <w:jc w:val="center"/>
              <w:rPr>
                <w:rFonts w:ascii="Calibri" w:hAnsi="Calibri"/>
                <w:b/>
                <w:sz w:val="18"/>
                <w:szCs w:val="18"/>
                <w:lang w:val="en-GB"/>
              </w:rPr>
            </w:pPr>
            <w:r w:rsidRPr="00C851D8">
              <w:rPr>
                <w:rFonts w:ascii="Calibri" w:hAnsi="Calibri"/>
                <w:b/>
                <w:sz w:val="18"/>
                <w:szCs w:val="18"/>
                <w:lang w:val="en-GB"/>
              </w:rPr>
              <w:t>Reference (pmol/L): M/F 12-20 y: 12.613-20.978</w:t>
            </w:r>
          </w:p>
        </w:tc>
      </w:tr>
      <w:tr w:rsidR="00FE7A56" w:rsidRPr="00C851D8" w14:paraId="6D58EE74" w14:textId="77777777" w:rsidTr="006A7048">
        <w:trPr>
          <w:trHeight w:val="300"/>
        </w:trPr>
        <w:tc>
          <w:tcPr>
            <w:tcW w:w="3227" w:type="dxa"/>
            <w:vMerge w:val="restart"/>
            <w:shd w:val="clear" w:color="auto" w:fill="FFFFFF" w:themeFill="background1"/>
            <w:noWrap/>
            <w:hideMark/>
          </w:tcPr>
          <w:p w14:paraId="203F7C15" w14:textId="1CBAE2A4" w:rsidR="00FE7A56" w:rsidRPr="00FD0654" w:rsidRDefault="00FE7A56" w:rsidP="00E64253">
            <w:pPr>
              <w:rPr>
                <w:b/>
                <w:sz w:val="18"/>
                <w:szCs w:val="18"/>
                <w:lang w:val="en-GB"/>
              </w:rPr>
            </w:pPr>
            <w:r w:rsidRPr="00FD0654">
              <w:rPr>
                <w:b/>
                <w:sz w:val="18"/>
                <w:szCs w:val="18"/>
                <w:lang w:val="en-GB"/>
              </w:rPr>
              <w:t>Lutheinizing Hormone</w:t>
            </w:r>
            <w:r w:rsidR="003557E0">
              <w:rPr>
                <w:b/>
                <w:sz w:val="18"/>
                <w:szCs w:val="18"/>
                <w:lang w:val="en-GB"/>
              </w:rPr>
              <w:t xml:space="preserve"> (IU/L)</w:t>
            </w:r>
          </w:p>
          <w:p w14:paraId="3E87E900" w14:textId="77777777" w:rsidR="00FE7A56" w:rsidRPr="00C851D8" w:rsidRDefault="00FE7A56" w:rsidP="00E64253">
            <w:pPr>
              <w:rPr>
                <w:sz w:val="16"/>
                <w:szCs w:val="16"/>
                <w:lang w:val="en-GB"/>
              </w:rPr>
            </w:pPr>
            <w:r w:rsidRPr="00C851D8">
              <w:rPr>
                <w:sz w:val="16"/>
                <w:szCs w:val="16"/>
                <w:lang w:val="en-GB"/>
              </w:rPr>
              <w:t>Electro-chemoluminescence assay (Roche Diagnostics E170 Modular)</w:t>
            </w:r>
          </w:p>
        </w:tc>
        <w:tc>
          <w:tcPr>
            <w:tcW w:w="1044" w:type="dxa"/>
            <w:noWrap/>
            <w:vAlign w:val="bottom"/>
            <w:hideMark/>
          </w:tcPr>
          <w:p w14:paraId="7F0287C1" w14:textId="03786000" w:rsidR="00FE7A56" w:rsidRDefault="00455693" w:rsidP="00E64253">
            <w:pPr>
              <w:jc w:val="right"/>
              <w:rPr>
                <w:rFonts w:ascii="Calibri" w:hAnsi="Calibri"/>
                <w:color w:val="000000"/>
              </w:rPr>
            </w:pPr>
            <w:r>
              <w:rPr>
                <w:rFonts w:ascii="Calibri" w:hAnsi="Calibri"/>
                <w:color w:val="000000"/>
              </w:rPr>
              <w:t>4,1</w:t>
            </w:r>
            <w:r w:rsidR="00FE7A56">
              <w:rPr>
                <w:rFonts w:ascii="Calibri" w:hAnsi="Calibri"/>
                <w:color w:val="000000"/>
              </w:rPr>
              <w:t>7</w:t>
            </w:r>
          </w:p>
        </w:tc>
        <w:tc>
          <w:tcPr>
            <w:tcW w:w="1045" w:type="dxa"/>
            <w:noWrap/>
            <w:vAlign w:val="bottom"/>
            <w:hideMark/>
          </w:tcPr>
          <w:p w14:paraId="1F1EE064" w14:textId="5974AA3D" w:rsidR="00FE7A56" w:rsidRDefault="00455693" w:rsidP="00E64253">
            <w:pPr>
              <w:jc w:val="right"/>
              <w:rPr>
                <w:rFonts w:ascii="Calibri" w:hAnsi="Calibri"/>
                <w:color w:val="000000"/>
              </w:rPr>
            </w:pPr>
            <w:r>
              <w:rPr>
                <w:rFonts w:ascii="Calibri" w:hAnsi="Calibri"/>
                <w:color w:val="000000"/>
              </w:rPr>
              <w:t>4,6</w:t>
            </w:r>
            <w:r w:rsidR="00FE7A56">
              <w:rPr>
                <w:rFonts w:ascii="Calibri" w:hAnsi="Calibri"/>
                <w:color w:val="000000"/>
              </w:rPr>
              <w:t>4</w:t>
            </w:r>
          </w:p>
        </w:tc>
        <w:tc>
          <w:tcPr>
            <w:tcW w:w="1045" w:type="dxa"/>
            <w:noWrap/>
            <w:vAlign w:val="bottom"/>
            <w:hideMark/>
          </w:tcPr>
          <w:p w14:paraId="7E9317BE" w14:textId="77777777" w:rsidR="00FE7A56" w:rsidRPr="00C851D8" w:rsidRDefault="00FE7A56" w:rsidP="00E64253">
            <w:pPr>
              <w:jc w:val="right"/>
              <w:rPr>
                <w:rFonts w:ascii="Calibri" w:hAnsi="Calibri"/>
                <w:b/>
                <w:sz w:val="18"/>
                <w:szCs w:val="18"/>
              </w:rPr>
            </w:pPr>
            <w:r>
              <w:rPr>
                <w:rFonts w:ascii="Calibri" w:hAnsi="Calibri"/>
                <w:b/>
                <w:sz w:val="18"/>
                <w:szCs w:val="18"/>
              </w:rPr>
              <w:t>0,123</w:t>
            </w:r>
          </w:p>
        </w:tc>
        <w:tc>
          <w:tcPr>
            <w:tcW w:w="1044" w:type="dxa"/>
            <w:noWrap/>
            <w:vAlign w:val="bottom"/>
            <w:hideMark/>
          </w:tcPr>
          <w:p w14:paraId="6C02D5CC" w14:textId="543B92C0" w:rsidR="00FE7A56" w:rsidRPr="00C0471C" w:rsidRDefault="00455693" w:rsidP="00455693">
            <w:pPr>
              <w:jc w:val="right"/>
              <w:rPr>
                <w:rFonts w:ascii="Calibri" w:hAnsi="Calibri"/>
                <w:color w:val="000000"/>
              </w:rPr>
            </w:pPr>
            <w:r>
              <w:rPr>
                <w:rFonts w:ascii="Calibri" w:hAnsi="Calibri"/>
                <w:color w:val="000000"/>
              </w:rPr>
              <w:t>5,07</w:t>
            </w:r>
          </w:p>
        </w:tc>
        <w:tc>
          <w:tcPr>
            <w:tcW w:w="1045" w:type="dxa"/>
            <w:noWrap/>
            <w:vAlign w:val="bottom"/>
            <w:hideMark/>
          </w:tcPr>
          <w:p w14:paraId="43D0E407" w14:textId="77777777" w:rsidR="00FE7A56" w:rsidRPr="00C851D8" w:rsidRDefault="00FE7A56" w:rsidP="00E64253">
            <w:pPr>
              <w:jc w:val="right"/>
              <w:rPr>
                <w:rFonts w:ascii="Calibri" w:hAnsi="Calibri"/>
                <w:b/>
                <w:sz w:val="18"/>
                <w:szCs w:val="18"/>
              </w:rPr>
            </w:pPr>
            <w:r>
              <w:rPr>
                <w:rFonts w:ascii="Calibri" w:hAnsi="Calibri"/>
                <w:b/>
                <w:sz w:val="18"/>
                <w:szCs w:val="18"/>
              </w:rPr>
              <w:t>0,168</w:t>
            </w:r>
          </w:p>
        </w:tc>
        <w:tc>
          <w:tcPr>
            <w:tcW w:w="1045" w:type="dxa"/>
            <w:noWrap/>
            <w:vAlign w:val="bottom"/>
            <w:hideMark/>
          </w:tcPr>
          <w:p w14:paraId="3FC8B031" w14:textId="2FCCF512" w:rsidR="00FE7A56" w:rsidRDefault="00455693" w:rsidP="00455693">
            <w:pPr>
              <w:jc w:val="right"/>
              <w:rPr>
                <w:rFonts w:ascii="Calibri" w:hAnsi="Calibri"/>
                <w:color w:val="000000"/>
              </w:rPr>
            </w:pPr>
            <w:r>
              <w:rPr>
                <w:rFonts w:ascii="Calibri" w:hAnsi="Calibri"/>
                <w:color w:val="000000"/>
              </w:rPr>
              <w:t>5,54</w:t>
            </w:r>
          </w:p>
        </w:tc>
        <w:tc>
          <w:tcPr>
            <w:tcW w:w="1044" w:type="dxa"/>
            <w:noWrap/>
            <w:vAlign w:val="bottom"/>
            <w:hideMark/>
          </w:tcPr>
          <w:p w14:paraId="111C24DD" w14:textId="60D49DAF" w:rsidR="00FE7A56" w:rsidRDefault="00FE7A56" w:rsidP="00455693">
            <w:pPr>
              <w:jc w:val="right"/>
              <w:rPr>
                <w:rFonts w:ascii="Calibri" w:hAnsi="Calibri"/>
                <w:color w:val="000000"/>
              </w:rPr>
            </w:pPr>
            <w:r>
              <w:rPr>
                <w:rFonts w:ascii="Calibri" w:hAnsi="Calibri"/>
                <w:color w:val="000000"/>
              </w:rPr>
              <w:t>4,02</w:t>
            </w:r>
          </w:p>
        </w:tc>
        <w:tc>
          <w:tcPr>
            <w:tcW w:w="1193" w:type="dxa"/>
            <w:noWrap/>
            <w:vAlign w:val="bottom"/>
            <w:hideMark/>
          </w:tcPr>
          <w:p w14:paraId="7FBEFCAF" w14:textId="77777777" w:rsidR="00FE7A56" w:rsidRPr="00C851D8" w:rsidRDefault="00FE7A56" w:rsidP="00E64253">
            <w:pPr>
              <w:jc w:val="right"/>
              <w:rPr>
                <w:rFonts w:ascii="Calibri" w:hAnsi="Calibri"/>
                <w:b/>
                <w:sz w:val="18"/>
                <w:szCs w:val="18"/>
              </w:rPr>
            </w:pPr>
            <w:r>
              <w:rPr>
                <w:rFonts w:ascii="Calibri" w:hAnsi="Calibri"/>
                <w:b/>
                <w:sz w:val="18"/>
                <w:szCs w:val="18"/>
              </w:rPr>
              <w:t>0,077</w:t>
            </w:r>
          </w:p>
        </w:tc>
        <w:tc>
          <w:tcPr>
            <w:tcW w:w="897" w:type="dxa"/>
            <w:noWrap/>
            <w:vAlign w:val="bottom"/>
            <w:hideMark/>
          </w:tcPr>
          <w:p w14:paraId="5CF0D3F0" w14:textId="02FFA67E" w:rsidR="00FE7A56" w:rsidRPr="00C0471C" w:rsidRDefault="00455693" w:rsidP="00455693">
            <w:pPr>
              <w:jc w:val="right"/>
              <w:rPr>
                <w:rFonts w:ascii="Calibri" w:hAnsi="Calibri"/>
                <w:color w:val="000000"/>
              </w:rPr>
            </w:pPr>
            <w:r>
              <w:rPr>
                <w:rFonts w:ascii="Calibri" w:hAnsi="Calibri"/>
                <w:color w:val="000000"/>
              </w:rPr>
              <w:t>3,00</w:t>
            </w:r>
          </w:p>
        </w:tc>
        <w:tc>
          <w:tcPr>
            <w:tcW w:w="1229" w:type="dxa"/>
            <w:noWrap/>
            <w:vAlign w:val="bottom"/>
            <w:hideMark/>
          </w:tcPr>
          <w:p w14:paraId="1DFF7C86" w14:textId="77777777" w:rsidR="00FE7A56" w:rsidRPr="00C851D8" w:rsidRDefault="00FE7A56" w:rsidP="00E64253">
            <w:pPr>
              <w:jc w:val="right"/>
              <w:rPr>
                <w:rFonts w:ascii="Calibri" w:hAnsi="Calibri"/>
                <w:b/>
                <w:sz w:val="18"/>
                <w:szCs w:val="18"/>
              </w:rPr>
            </w:pPr>
            <w:r>
              <w:rPr>
                <w:rFonts w:ascii="Calibri" w:hAnsi="Calibri"/>
                <w:b/>
                <w:sz w:val="18"/>
                <w:szCs w:val="18"/>
              </w:rPr>
              <w:t>0,053</w:t>
            </w:r>
          </w:p>
        </w:tc>
      </w:tr>
      <w:tr w:rsidR="00FE7A56" w:rsidRPr="00C851D8" w14:paraId="2145776D" w14:textId="77777777" w:rsidTr="00E64253">
        <w:trPr>
          <w:trHeight w:val="300"/>
        </w:trPr>
        <w:tc>
          <w:tcPr>
            <w:tcW w:w="3227" w:type="dxa"/>
            <w:vMerge/>
            <w:shd w:val="clear" w:color="auto" w:fill="FFFFFF" w:themeFill="background1"/>
            <w:noWrap/>
            <w:hideMark/>
          </w:tcPr>
          <w:p w14:paraId="07C0C6D0" w14:textId="77777777" w:rsidR="00FE7A56" w:rsidRPr="00C851D8" w:rsidRDefault="00FE7A56" w:rsidP="00E64253">
            <w:pPr>
              <w:rPr>
                <w:b/>
                <w:sz w:val="18"/>
                <w:szCs w:val="18"/>
              </w:rPr>
            </w:pPr>
          </w:p>
        </w:tc>
        <w:tc>
          <w:tcPr>
            <w:tcW w:w="10631" w:type="dxa"/>
            <w:gridSpan w:val="10"/>
            <w:noWrap/>
            <w:vAlign w:val="bottom"/>
            <w:hideMark/>
          </w:tcPr>
          <w:p w14:paraId="0997D7FB" w14:textId="77777777" w:rsidR="00FE7A56" w:rsidRPr="00C851D8" w:rsidRDefault="00FE7A56" w:rsidP="00E64253">
            <w:pPr>
              <w:jc w:val="center"/>
              <w:rPr>
                <w:rFonts w:ascii="Calibri" w:hAnsi="Calibri"/>
                <w:b/>
                <w:sz w:val="18"/>
                <w:szCs w:val="18"/>
              </w:rPr>
            </w:pPr>
            <w:r w:rsidRPr="00C851D8">
              <w:rPr>
                <w:rFonts w:ascii="Calibri" w:hAnsi="Calibri"/>
                <w:b/>
                <w:sz w:val="18"/>
                <w:szCs w:val="18"/>
              </w:rPr>
              <w:t>Reference (IU/L): M</w:t>
            </w:r>
            <w:r>
              <w:rPr>
                <w:rFonts w:ascii="Calibri" w:hAnsi="Calibri"/>
                <w:b/>
                <w:sz w:val="18"/>
                <w:szCs w:val="18"/>
              </w:rPr>
              <w:t>:</w:t>
            </w:r>
            <w:r w:rsidRPr="00C851D8">
              <w:rPr>
                <w:rFonts w:ascii="Calibri" w:hAnsi="Calibri"/>
                <w:b/>
                <w:sz w:val="18"/>
                <w:szCs w:val="18"/>
              </w:rPr>
              <w:t xml:space="preserve"> 1-9 U/L</w:t>
            </w:r>
            <w:r>
              <w:rPr>
                <w:rFonts w:ascii="Calibri" w:hAnsi="Calibri"/>
                <w:b/>
                <w:sz w:val="18"/>
                <w:szCs w:val="18"/>
              </w:rPr>
              <w:t>,</w:t>
            </w:r>
            <w:r w:rsidRPr="00C851D8">
              <w:rPr>
                <w:rFonts w:ascii="Calibri" w:hAnsi="Calibri"/>
                <w:b/>
                <w:sz w:val="18"/>
                <w:szCs w:val="18"/>
              </w:rPr>
              <w:t xml:space="preserve"> F</w:t>
            </w:r>
            <w:r>
              <w:rPr>
                <w:rFonts w:ascii="Calibri" w:hAnsi="Calibri"/>
                <w:b/>
                <w:sz w:val="18"/>
                <w:szCs w:val="18"/>
              </w:rPr>
              <w:t>:</w:t>
            </w:r>
            <w:r w:rsidRPr="00C851D8">
              <w:rPr>
                <w:rFonts w:ascii="Calibri" w:hAnsi="Calibri"/>
                <w:b/>
                <w:sz w:val="18"/>
                <w:szCs w:val="18"/>
              </w:rPr>
              <w:t xml:space="preserve"> 1-96U/L (cycle dependant)</w:t>
            </w:r>
          </w:p>
        </w:tc>
      </w:tr>
      <w:tr w:rsidR="00FE7A56" w:rsidRPr="00C851D8" w14:paraId="3800AB54" w14:textId="77777777" w:rsidTr="006A7048">
        <w:trPr>
          <w:trHeight w:val="300"/>
        </w:trPr>
        <w:tc>
          <w:tcPr>
            <w:tcW w:w="3227" w:type="dxa"/>
            <w:vMerge w:val="restart"/>
            <w:shd w:val="clear" w:color="auto" w:fill="FFFFFF" w:themeFill="background1"/>
            <w:noWrap/>
            <w:hideMark/>
          </w:tcPr>
          <w:p w14:paraId="01034FC4" w14:textId="471FFF9B" w:rsidR="00FE7A56" w:rsidRPr="00FD0654" w:rsidRDefault="00FE7A56" w:rsidP="00E64253">
            <w:pPr>
              <w:rPr>
                <w:b/>
                <w:sz w:val="18"/>
                <w:szCs w:val="18"/>
                <w:lang w:val="en-GB"/>
              </w:rPr>
            </w:pPr>
            <w:r w:rsidRPr="00FD0654">
              <w:rPr>
                <w:b/>
                <w:sz w:val="18"/>
                <w:szCs w:val="18"/>
                <w:lang w:val="en-GB"/>
              </w:rPr>
              <w:t>Follicular Stimulating Hormone</w:t>
            </w:r>
            <w:r w:rsidR="003557E0">
              <w:rPr>
                <w:b/>
                <w:sz w:val="18"/>
                <w:szCs w:val="18"/>
                <w:lang w:val="en-GB"/>
              </w:rPr>
              <w:t xml:space="preserve"> (IU/L)</w:t>
            </w:r>
          </w:p>
          <w:p w14:paraId="7717CA65" w14:textId="77777777" w:rsidR="00FE7A56" w:rsidRPr="00C851D8" w:rsidRDefault="00FE7A56" w:rsidP="00E64253">
            <w:pPr>
              <w:rPr>
                <w:sz w:val="16"/>
                <w:szCs w:val="16"/>
                <w:lang w:val="en-GB"/>
              </w:rPr>
            </w:pPr>
            <w:r w:rsidRPr="00C851D8">
              <w:rPr>
                <w:sz w:val="16"/>
                <w:szCs w:val="16"/>
                <w:lang w:val="en-GB"/>
              </w:rPr>
              <w:t>Electro-chemoluminescence assay (Roche Diagnostics E170 Modular)</w:t>
            </w:r>
          </w:p>
        </w:tc>
        <w:tc>
          <w:tcPr>
            <w:tcW w:w="1044" w:type="dxa"/>
            <w:noWrap/>
            <w:vAlign w:val="bottom"/>
            <w:hideMark/>
          </w:tcPr>
          <w:p w14:paraId="66BC8DBC" w14:textId="19BF8AD9" w:rsidR="00FE7A56" w:rsidRDefault="00FE7A56" w:rsidP="00455693">
            <w:pPr>
              <w:jc w:val="right"/>
              <w:rPr>
                <w:rFonts w:ascii="Calibri" w:hAnsi="Calibri"/>
                <w:color w:val="000000"/>
              </w:rPr>
            </w:pPr>
            <w:r>
              <w:rPr>
                <w:rFonts w:ascii="Calibri" w:hAnsi="Calibri"/>
                <w:color w:val="000000"/>
              </w:rPr>
              <w:t>4,1</w:t>
            </w:r>
            <w:r w:rsidR="00455693">
              <w:rPr>
                <w:rFonts w:ascii="Calibri" w:hAnsi="Calibri"/>
                <w:color w:val="000000"/>
              </w:rPr>
              <w:t>9</w:t>
            </w:r>
          </w:p>
        </w:tc>
        <w:tc>
          <w:tcPr>
            <w:tcW w:w="1045" w:type="dxa"/>
            <w:noWrap/>
            <w:vAlign w:val="bottom"/>
            <w:hideMark/>
          </w:tcPr>
          <w:p w14:paraId="6A965337" w14:textId="77777777" w:rsidR="00FE7A56" w:rsidRDefault="00FE7A56" w:rsidP="00E64253">
            <w:pPr>
              <w:jc w:val="right"/>
              <w:rPr>
                <w:rFonts w:ascii="Calibri" w:hAnsi="Calibri"/>
                <w:color w:val="000000"/>
              </w:rPr>
            </w:pPr>
            <w:r>
              <w:rPr>
                <w:rFonts w:ascii="Calibri" w:hAnsi="Calibri"/>
                <w:color w:val="000000"/>
              </w:rPr>
              <w:t>3,32</w:t>
            </w:r>
          </w:p>
        </w:tc>
        <w:tc>
          <w:tcPr>
            <w:tcW w:w="1045" w:type="dxa"/>
            <w:noWrap/>
            <w:vAlign w:val="bottom"/>
            <w:hideMark/>
          </w:tcPr>
          <w:p w14:paraId="240350BB" w14:textId="77777777" w:rsidR="00FE7A56" w:rsidRPr="00C851D8" w:rsidRDefault="00FE7A56" w:rsidP="00E64253">
            <w:pPr>
              <w:jc w:val="right"/>
              <w:rPr>
                <w:rFonts w:ascii="Calibri" w:hAnsi="Calibri"/>
                <w:b/>
                <w:sz w:val="18"/>
                <w:szCs w:val="18"/>
              </w:rPr>
            </w:pPr>
            <w:r>
              <w:rPr>
                <w:rFonts w:ascii="Calibri" w:hAnsi="Calibri"/>
                <w:b/>
                <w:sz w:val="18"/>
                <w:szCs w:val="18"/>
              </w:rPr>
              <w:t>0,005</w:t>
            </w:r>
          </w:p>
        </w:tc>
        <w:tc>
          <w:tcPr>
            <w:tcW w:w="1044" w:type="dxa"/>
            <w:noWrap/>
            <w:vAlign w:val="bottom"/>
            <w:hideMark/>
          </w:tcPr>
          <w:p w14:paraId="2E3CD10E" w14:textId="0E3CBCD1" w:rsidR="00FE7A56" w:rsidRPr="00C0471C" w:rsidRDefault="00FE7A56" w:rsidP="00455693">
            <w:pPr>
              <w:jc w:val="right"/>
              <w:rPr>
                <w:rFonts w:ascii="Calibri" w:hAnsi="Calibri"/>
                <w:color w:val="000000"/>
              </w:rPr>
            </w:pPr>
            <w:r>
              <w:rPr>
                <w:rFonts w:ascii="Calibri" w:hAnsi="Calibri"/>
                <w:color w:val="000000"/>
              </w:rPr>
              <w:t>5,45</w:t>
            </w:r>
          </w:p>
        </w:tc>
        <w:tc>
          <w:tcPr>
            <w:tcW w:w="1045" w:type="dxa"/>
            <w:noWrap/>
            <w:vAlign w:val="bottom"/>
            <w:hideMark/>
          </w:tcPr>
          <w:p w14:paraId="6E2CC59F" w14:textId="77777777" w:rsidR="00FE7A56" w:rsidRPr="00C851D8" w:rsidRDefault="00FE7A56" w:rsidP="00E64253">
            <w:pPr>
              <w:jc w:val="right"/>
              <w:rPr>
                <w:rFonts w:ascii="Calibri" w:hAnsi="Calibri"/>
                <w:b/>
                <w:sz w:val="18"/>
                <w:szCs w:val="18"/>
              </w:rPr>
            </w:pPr>
            <w:r>
              <w:rPr>
                <w:rFonts w:ascii="Calibri" w:hAnsi="Calibri"/>
                <w:b/>
                <w:sz w:val="18"/>
                <w:szCs w:val="18"/>
              </w:rPr>
              <w:t>0,373</w:t>
            </w:r>
          </w:p>
        </w:tc>
        <w:tc>
          <w:tcPr>
            <w:tcW w:w="1045" w:type="dxa"/>
            <w:noWrap/>
            <w:vAlign w:val="bottom"/>
            <w:hideMark/>
          </w:tcPr>
          <w:p w14:paraId="46A6662A" w14:textId="7CA4290B" w:rsidR="00FE7A56" w:rsidRDefault="00455693" w:rsidP="00455693">
            <w:pPr>
              <w:jc w:val="right"/>
              <w:rPr>
                <w:rFonts w:ascii="Calibri" w:hAnsi="Calibri"/>
                <w:color w:val="000000"/>
              </w:rPr>
            </w:pPr>
            <w:r>
              <w:rPr>
                <w:rFonts w:ascii="Calibri" w:hAnsi="Calibri"/>
                <w:color w:val="000000"/>
              </w:rPr>
              <w:t>5,19</w:t>
            </w:r>
          </w:p>
        </w:tc>
        <w:tc>
          <w:tcPr>
            <w:tcW w:w="1044" w:type="dxa"/>
            <w:noWrap/>
            <w:vAlign w:val="bottom"/>
            <w:hideMark/>
          </w:tcPr>
          <w:p w14:paraId="78AA2768" w14:textId="01C0776A" w:rsidR="00FE7A56" w:rsidRDefault="00FE7A56" w:rsidP="00455693">
            <w:pPr>
              <w:jc w:val="right"/>
              <w:rPr>
                <w:rFonts w:ascii="Calibri" w:hAnsi="Calibri"/>
                <w:color w:val="000000"/>
              </w:rPr>
            </w:pPr>
            <w:r>
              <w:rPr>
                <w:rFonts w:ascii="Calibri" w:hAnsi="Calibri"/>
                <w:color w:val="000000"/>
              </w:rPr>
              <w:t>3,97</w:t>
            </w:r>
          </w:p>
        </w:tc>
        <w:tc>
          <w:tcPr>
            <w:tcW w:w="1193" w:type="dxa"/>
            <w:noWrap/>
            <w:vAlign w:val="bottom"/>
            <w:hideMark/>
          </w:tcPr>
          <w:p w14:paraId="32B6ABEE" w14:textId="77777777" w:rsidR="00FE7A56" w:rsidRPr="00C851D8" w:rsidRDefault="00FE7A56" w:rsidP="00E64253">
            <w:pPr>
              <w:jc w:val="right"/>
              <w:rPr>
                <w:rFonts w:ascii="Calibri" w:hAnsi="Calibri"/>
                <w:b/>
                <w:sz w:val="18"/>
                <w:szCs w:val="18"/>
              </w:rPr>
            </w:pPr>
            <w:r>
              <w:rPr>
                <w:rFonts w:ascii="Calibri" w:hAnsi="Calibri"/>
                <w:b/>
                <w:sz w:val="18"/>
                <w:szCs w:val="18"/>
              </w:rPr>
              <w:t>0,187</w:t>
            </w:r>
          </w:p>
        </w:tc>
        <w:tc>
          <w:tcPr>
            <w:tcW w:w="897" w:type="dxa"/>
            <w:noWrap/>
            <w:vAlign w:val="bottom"/>
            <w:hideMark/>
          </w:tcPr>
          <w:p w14:paraId="24EE99B6" w14:textId="2717E4B4" w:rsidR="00FE7A56" w:rsidRPr="00C0471C" w:rsidRDefault="00FE7A56" w:rsidP="00455693">
            <w:pPr>
              <w:jc w:val="right"/>
              <w:rPr>
                <w:rFonts w:ascii="Calibri" w:hAnsi="Calibri"/>
                <w:color w:val="000000"/>
              </w:rPr>
            </w:pPr>
            <w:r>
              <w:rPr>
                <w:rFonts w:ascii="Calibri" w:hAnsi="Calibri"/>
                <w:color w:val="000000"/>
              </w:rPr>
              <w:t>2,68</w:t>
            </w:r>
          </w:p>
        </w:tc>
        <w:tc>
          <w:tcPr>
            <w:tcW w:w="1229" w:type="dxa"/>
            <w:noWrap/>
            <w:vAlign w:val="bottom"/>
            <w:hideMark/>
          </w:tcPr>
          <w:p w14:paraId="708BA332" w14:textId="77777777" w:rsidR="00FE7A56" w:rsidRPr="00C851D8" w:rsidRDefault="00FE7A56" w:rsidP="00E64253">
            <w:pPr>
              <w:jc w:val="right"/>
              <w:rPr>
                <w:rFonts w:ascii="Calibri" w:hAnsi="Calibri"/>
                <w:b/>
                <w:sz w:val="18"/>
                <w:szCs w:val="18"/>
              </w:rPr>
            </w:pPr>
            <w:r>
              <w:rPr>
                <w:rFonts w:ascii="Calibri" w:hAnsi="Calibri"/>
                <w:b/>
                <w:sz w:val="18"/>
                <w:szCs w:val="18"/>
              </w:rPr>
              <w:t>0,102</w:t>
            </w:r>
          </w:p>
        </w:tc>
      </w:tr>
      <w:tr w:rsidR="00FE7A56" w:rsidRPr="00C851D8" w14:paraId="14B0A529" w14:textId="77777777" w:rsidTr="00E64253">
        <w:trPr>
          <w:trHeight w:val="300"/>
        </w:trPr>
        <w:tc>
          <w:tcPr>
            <w:tcW w:w="3227" w:type="dxa"/>
            <w:vMerge/>
            <w:shd w:val="clear" w:color="auto" w:fill="FFFFFF" w:themeFill="background1"/>
            <w:noWrap/>
            <w:hideMark/>
          </w:tcPr>
          <w:p w14:paraId="0CB97A3A" w14:textId="77777777" w:rsidR="00FE7A56" w:rsidRPr="00C851D8" w:rsidRDefault="00FE7A56" w:rsidP="00E64253">
            <w:pPr>
              <w:rPr>
                <w:b/>
                <w:sz w:val="18"/>
                <w:szCs w:val="18"/>
              </w:rPr>
            </w:pPr>
          </w:p>
        </w:tc>
        <w:tc>
          <w:tcPr>
            <w:tcW w:w="10631" w:type="dxa"/>
            <w:gridSpan w:val="10"/>
            <w:noWrap/>
            <w:vAlign w:val="bottom"/>
            <w:hideMark/>
          </w:tcPr>
          <w:p w14:paraId="4292CC33" w14:textId="77777777" w:rsidR="00FE7A56" w:rsidRPr="00C851D8" w:rsidRDefault="00FE7A56" w:rsidP="00E64253">
            <w:pPr>
              <w:jc w:val="center"/>
              <w:rPr>
                <w:rFonts w:ascii="Calibri" w:hAnsi="Calibri"/>
                <w:b/>
                <w:sz w:val="18"/>
                <w:szCs w:val="18"/>
              </w:rPr>
            </w:pPr>
            <w:r w:rsidRPr="00C851D8">
              <w:rPr>
                <w:rFonts w:ascii="Calibri" w:hAnsi="Calibri"/>
                <w:b/>
                <w:sz w:val="18"/>
                <w:szCs w:val="18"/>
              </w:rPr>
              <w:t>Reference (IU/L): M: 1-12 U/L,</w:t>
            </w:r>
            <w:r>
              <w:rPr>
                <w:rFonts w:ascii="Calibri" w:hAnsi="Calibri"/>
                <w:b/>
                <w:sz w:val="18"/>
                <w:szCs w:val="18"/>
              </w:rPr>
              <w:t xml:space="preserve"> </w:t>
            </w:r>
            <w:r w:rsidRPr="00C851D8">
              <w:rPr>
                <w:rFonts w:ascii="Calibri" w:hAnsi="Calibri"/>
                <w:b/>
                <w:sz w:val="18"/>
                <w:szCs w:val="18"/>
              </w:rPr>
              <w:t>F</w:t>
            </w:r>
            <w:r>
              <w:rPr>
                <w:rFonts w:ascii="Calibri" w:hAnsi="Calibri"/>
                <w:b/>
                <w:sz w:val="18"/>
                <w:szCs w:val="18"/>
              </w:rPr>
              <w:t>:</w:t>
            </w:r>
            <w:r w:rsidRPr="00C851D8">
              <w:rPr>
                <w:rFonts w:ascii="Calibri" w:hAnsi="Calibri"/>
                <w:b/>
                <w:sz w:val="18"/>
                <w:szCs w:val="18"/>
              </w:rPr>
              <w:t xml:space="preserve"> 2-22U/L (cycle dependant)</w:t>
            </w:r>
          </w:p>
        </w:tc>
      </w:tr>
    </w:tbl>
    <w:p w14:paraId="13FFC526" w14:textId="77777777" w:rsidR="000B4142" w:rsidRDefault="000B4142"/>
    <w:tbl>
      <w:tblPr>
        <w:tblStyle w:val="Tabelraster"/>
        <w:tblW w:w="13858" w:type="dxa"/>
        <w:tblLayout w:type="fixed"/>
        <w:tblLook w:val="04A0" w:firstRow="1" w:lastRow="0" w:firstColumn="1" w:lastColumn="0" w:noHBand="0" w:noVBand="1"/>
      </w:tblPr>
      <w:tblGrid>
        <w:gridCol w:w="3227"/>
        <w:gridCol w:w="1044"/>
        <w:gridCol w:w="1045"/>
        <w:gridCol w:w="1045"/>
        <w:gridCol w:w="1044"/>
        <w:gridCol w:w="1045"/>
        <w:gridCol w:w="1045"/>
        <w:gridCol w:w="1044"/>
        <w:gridCol w:w="1045"/>
        <w:gridCol w:w="1045"/>
        <w:gridCol w:w="1229"/>
      </w:tblGrid>
      <w:tr w:rsidR="00FE7A56" w:rsidRPr="00C851D8" w14:paraId="1F4CBD13" w14:textId="77777777" w:rsidTr="00A54BB7">
        <w:trPr>
          <w:trHeight w:val="300"/>
        </w:trPr>
        <w:tc>
          <w:tcPr>
            <w:tcW w:w="3227" w:type="dxa"/>
            <w:vMerge w:val="restart"/>
            <w:shd w:val="clear" w:color="auto" w:fill="FFFFFF" w:themeFill="background1"/>
            <w:noWrap/>
            <w:hideMark/>
          </w:tcPr>
          <w:p w14:paraId="57BCC732" w14:textId="404FB781" w:rsidR="00FE7A56" w:rsidRPr="00FD0654" w:rsidRDefault="00FE7A56" w:rsidP="00E64253">
            <w:pPr>
              <w:rPr>
                <w:b/>
                <w:sz w:val="18"/>
                <w:szCs w:val="18"/>
                <w:lang w:val="en-GB"/>
              </w:rPr>
            </w:pPr>
            <w:r w:rsidRPr="00FD0654">
              <w:rPr>
                <w:b/>
                <w:sz w:val="18"/>
                <w:szCs w:val="18"/>
                <w:lang w:val="en-GB"/>
              </w:rPr>
              <w:lastRenderedPageBreak/>
              <w:t>Sex Hormone-Binding Globulin</w:t>
            </w:r>
            <w:r w:rsidR="003557E0">
              <w:rPr>
                <w:b/>
                <w:sz w:val="18"/>
                <w:szCs w:val="18"/>
                <w:lang w:val="en-GB"/>
              </w:rPr>
              <w:t xml:space="preserve"> (nmol/L)</w:t>
            </w:r>
          </w:p>
          <w:p w14:paraId="0032B6F0" w14:textId="77777777" w:rsidR="00FE7A56" w:rsidRPr="00C851D8" w:rsidRDefault="00FE7A56" w:rsidP="00E64253">
            <w:pPr>
              <w:rPr>
                <w:b/>
                <w:sz w:val="18"/>
                <w:szCs w:val="18"/>
                <w:lang w:val="en-GB"/>
              </w:rPr>
            </w:pPr>
            <w:r w:rsidRPr="00C851D8">
              <w:rPr>
                <w:sz w:val="16"/>
                <w:szCs w:val="16"/>
                <w:lang w:val="en-GB"/>
              </w:rPr>
              <w:t>Electro-chemoluminescence assay (Roche Diagnostics E170 Modular)</w:t>
            </w:r>
          </w:p>
        </w:tc>
        <w:tc>
          <w:tcPr>
            <w:tcW w:w="1044" w:type="dxa"/>
            <w:tcBorders>
              <w:bottom w:val="single" w:sz="4" w:space="0" w:color="auto"/>
            </w:tcBorders>
            <w:noWrap/>
            <w:vAlign w:val="bottom"/>
            <w:hideMark/>
          </w:tcPr>
          <w:p w14:paraId="34A0CCA3" w14:textId="2B7E3883" w:rsidR="00FE7A56" w:rsidRDefault="007E70C6" w:rsidP="007E70C6">
            <w:pPr>
              <w:jc w:val="right"/>
              <w:rPr>
                <w:rFonts w:ascii="Calibri" w:hAnsi="Calibri"/>
                <w:color w:val="000000"/>
              </w:rPr>
            </w:pPr>
            <w:r>
              <w:rPr>
                <w:rFonts w:ascii="Calibri" w:hAnsi="Calibri"/>
                <w:color w:val="000000"/>
              </w:rPr>
              <w:t>30,13</w:t>
            </w:r>
          </w:p>
        </w:tc>
        <w:tc>
          <w:tcPr>
            <w:tcW w:w="1045" w:type="dxa"/>
            <w:tcBorders>
              <w:bottom w:val="single" w:sz="4" w:space="0" w:color="auto"/>
            </w:tcBorders>
            <w:noWrap/>
            <w:vAlign w:val="bottom"/>
            <w:hideMark/>
          </w:tcPr>
          <w:p w14:paraId="17D74C94" w14:textId="2BC448B7" w:rsidR="00FE7A56" w:rsidRDefault="00FE7A56" w:rsidP="007E70C6">
            <w:pPr>
              <w:jc w:val="right"/>
              <w:rPr>
                <w:rFonts w:ascii="Calibri" w:hAnsi="Calibri"/>
                <w:color w:val="000000"/>
              </w:rPr>
            </w:pPr>
            <w:r>
              <w:rPr>
                <w:rFonts w:ascii="Calibri" w:hAnsi="Calibri"/>
                <w:color w:val="000000"/>
              </w:rPr>
              <w:t>25,82</w:t>
            </w:r>
          </w:p>
        </w:tc>
        <w:tc>
          <w:tcPr>
            <w:tcW w:w="1045" w:type="dxa"/>
            <w:tcBorders>
              <w:bottom w:val="single" w:sz="4" w:space="0" w:color="auto"/>
            </w:tcBorders>
            <w:noWrap/>
            <w:vAlign w:val="bottom"/>
            <w:hideMark/>
          </w:tcPr>
          <w:p w14:paraId="39A196F1" w14:textId="77777777" w:rsidR="00FE7A56" w:rsidRPr="00C851D8" w:rsidRDefault="00FE7A56" w:rsidP="00E64253">
            <w:pPr>
              <w:jc w:val="right"/>
              <w:rPr>
                <w:rFonts w:ascii="Calibri" w:hAnsi="Calibri"/>
                <w:b/>
                <w:sz w:val="18"/>
                <w:szCs w:val="18"/>
              </w:rPr>
            </w:pPr>
            <w:r>
              <w:rPr>
                <w:rFonts w:ascii="Calibri" w:hAnsi="Calibri"/>
                <w:b/>
                <w:sz w:val="18"/>
                <w:szCs w:val="18"/>
              </w:rPr>
              <w:t>0,074</w:t>
            </w:r>
          </w:p>
        </w:tc>
        <w:tc>
          <w:tcPr>
            <w:tcW w:w="1044" w:type="dxa"/>
            <w:tcBorders>
              <w:bottom w:val="single" w:sz="4" w:space="0" w:color="auto"/>
            </w:tcBorders>
            <w:noWrap/>
            <w:vAlign w:val="bottom"/>
            <w:hideMark/>
          </w:tcPr>
          <w:p w14:paraId="072878D7" w14:textId="4A23FF46" w:rsidR="00FE7A56" w:rsidRPr="00C0471C" w:rsidRDefault="007E70C6" w:rsidP="007E70C6">
            <w:pPr>
              <w:jc w:val="right"/>
              <w:rPr>
                <w:rFonts w:ascii="Calibri" w:hAnsi="Calibri"/>
                <w:color w:val="000000"/>
              </w:rPr>
            </w:pPr>
            <w:r>
              <w:rPr>
                <w:rFonts w:ascii="Calibri" w:hAnsi="Calibri"/>
                <w:color w:val="000000"/>
              </w:rPr>
              <w:t>23,</w:t>
            </w:r>
            <w:r w:rsidR="00FE7A56">
              <w:rPr>
                <w:rFonts w:ascii="Calibri" w:hAnsi="Calibri"/>
                <w:color w:val="000000"/>
              </w:rPr>
              <w:t>9</w:t>
            </w:r>
            <w:r>
              <w:rPr>
                <w:rFonts w:ascii="Calibri" w:hAnsi="Calibri"/>
                <w:color w:val="000000"/>
              </w:rPr>
              <w:t>0</w:t>
            </w:r>
          </w:p>
        </w:tc>
        <w:tc>
          <w:tcPr>
            <w:tcW w:w="1045" w:type="dxa"/>
            <w:tcBorders>
              <w:bottom w:val="single" w:sz="4" w:space="0" w:color="auto"/>
            </w:tcBorders>
            <w:noWrap/>
            <w:vAlign w:val="bottom"/>
            <w:hideMark/>
          </w:tcPr>
          <w:p w14:paraId="36B0890D" w14:textId="77777777" w:rsidR="00FE7A56" w:rsidRPr="00C851D8" w:rsidRDefault="00FE7A56" w:rsidP="00E64253">
            <w:pPr>
              <w:jc w:val="right"/>
              <w:rPr>
                <w:rFonts w:ascii="Calibri" w:hAnsi="Calibri"/>
                <w:b/>
                <w:sz w:val="18"/>
                <w:szCs w:val="18"/>
              </w:rPr>
            </w:pPr>
            <w:r>
              <w:rPr>
                <w:rFonts w:ascii="Calibri" w:hAnsi="Calibri"/>
                <w:b/>
                <w:sz w:val="18"/>
                <w:szCs w:val="18"/>
              </w:rPr>
              <w:t>0,802</w:t>
            </w:r>
          </w:p>
        </w:tc>
        <w:tc>
          <w:tcPr>
            <w:tcW w:w="1045" w:type="dxa"/>
            <w:tcBorders>
              <w:bottom w:val="single" w:sz="4" w:space="0" w:color="auto"/>
            </w:tcBorders>
            <w:noWrap/>
            <w:vAlign w:val="bottom"/>
            <w:hideMark/>
          </w:tcPr>
          <w:p w14:paraId="2D86935D" w14:textId="76A719AA" w:rsidR="00FE7A56" w:rsidRDefault="007E70C6" w:rsidP="007E70C6">
            <w:pPr>
              <w:jc w:val="right"/>
              <w:rPr>
                <w:rFonts w:ascii="Calibri" w:hAnsi="Calibri"/>
                <w:color w:val="000000"/>
              </w:rPr>
            </w:pPr>
            <w:r>
              <w:rPr>
                <w:rFonts w:ascii="Calibri" w:hAnsi="Calibri"/>
                <w:color w:val="000000"/>
              </w:rPr>
              <w:t>28,36</w:t>
            </w:r>
          </w:p>
        </w:tc>
        <w:tc>
          <w:tcPr>
            <w:tcW w:w="1044" w:type="dxa"/>
            <w:tcBorders>
              <w:bottom w:val="single" w:sz="4" w:space="0" w:color="auto"/>
            </w:tcBorders>
            <w:noWrap/>
            <w:vAlign w:val="bottom"/>
            <w:hideMark/>
          </w:tcPr>
          <w:p w14:paraId="1ED00FE2" w14:textId="6601C531" w:rsidR="00FE7A56" w:rsidRDefault="00FE7A56" w:rsidP="007E70C6">
            <w:pPr>
              <w:jc w:val="right"/>
              <w:rPr>
                <w:rFonts w:ascii="Calibri" w:hAnsi="Calibri"/>
                <w:color w:val="000000"/>
              </w:rPr>
            </w:pPr>
            <w:r>
              <w:rPr>
                <w:rFonts w:ascii="Calibri" w:hAnsi="Calibri"/>
                <w:color w:val="000000"/>
              </w:rPr>
              <w:t>37,07</w:t>
            </w:r>
          </w:p>
        </w:tc>
        <w:tc>
          <w:tcPr>
            <w:tcW w:w="1045" w:type="dxa"/>
            <w:tcBorders>
              <w:bottom w:val="single" w:sz="4" w:space="0" w:color="auto"/>
            </w:tcBorders>
            <w:noWrap/>
            <w:vAlign w:val="bottom"/>
            <w:hideMark/>
          </w:tcPr>
          <w:p w14:paraId="2EFE1450" w14:textId="77777777" w:rsidR="00FE7A56" w:rsidRPr="00C851D8" w:rsidRDefault="00FE7A56" w:rsidP="00E64253">
            <w:pPr>
              <w:jc w:val="right"/>
              <w:rPr>
                <w:rFonts w:ascii="Calibri" w:hAnsi="Calibri"/>
                <w:b/>
                <w:sz w:val="18"/>
                <w:szCs w:val="18"/>
              </w:rPr>
            </w:pPr>
            <w:r>
              <w:rPr>
                <w:rFonts w:ascii="Calibri" w:hAnsi="Calibri"/>
                <w:b/>
                <w:sz w:val="18"/>
                <w:szCs w:val="18"/>
              </w:rPr>
              <w:t>0,081</w:t>
            </w:r>
          </w:p>
        </w:tc>
        <w:tc>
          <w:tcPr>
            <w:tcW w:w="1045" w:type="dxa"/>
            <w:tcBorders>
              <w:bottom w:val="single" w:sz="4" w:space="0" w:color="auto"/>
            </w:tcBorders>
            <w:noWrap/>
            <w:vAlign w:val="bottom"/>
            <w:hideMark/>
          </w:tcPr>
          <w:p w14:paraId="645E1847" w14:textId="4CA96ABE" w:rsidR="00FE7A56" w:rsidRPr="00C0471C" w:rsidRDefault="007E70C6" w:rsidP="007E70C6">
            <w:pPr>
              <w:jc w:val="right"/>
              <w:rPr>
                <w:rFonts w:ascii="Calibri" w:hAnsi="Calibri"/>
                <w:color w:val="000000"/>
              </w:rPr>
            </w:pPr>
            <w:r>
              <w:rPr>
                <w:rFonts w:ascii="Calibri" w:hAnsi="Calibri"/>
                <w:color w:val="000000"/>
              </w:rPr>
              <w:t>43,94</w:t>
            </w:r>
          </w:p>
        </w:tc>
        <w:tc>
          <w:tcPr>
            <w:tcW w:w="1229" w:type="dxa"/>
            <w:tcBorders>
              <w:bottom w:val="single" w:sz="4" w:space="0" w:color="auto"/>
            </w:tcBorders>
            <w:noWrap/>
            <w:vAlign w:val="bottom"/>
            <w:hideMark/>
          </w:tcPr>
          <w:p w14:paraId="08D6461F" w14:textId="77777777" w:rsidR="00FE7A56" w:rsidRPr="00C851D8" w:rsidRDefault="00FE7A56" w:rsidP="00E64253">
            <w:pPr>
              <w:jc w:val="right"/>
              <w:rPr>
                <w:rFonts w:ascii="Calibri" w:hAnsi="Calibri"/>
                <w:b/>
                <w:sz w:val="18"/>
                <w:szCs w:val="18"/>
              </w:rPr>
            </w:pPr>
            <w:r>
              <w:rPr>
                <w:rFonts w:ascii="Calibri" w:hAnsi="Calibri"/>
                <w:b/>
                <w:sz w:val="18"/>
                <w:szCs w:val="18"/>
              </w:rPr>
              <w:t>0,151</w:t>
            </w:r>
          </w:p>
        </w:tc>
      </w:tr>
      <w:tr w:rsidR="000B4142" w:rsidRPr="002A729A" w14:paraId="6E435B22" w14:textId="77777777" w:rsidTr="00792067">
        <w:trPr>
          <w:trHeight w:val="300"/>
        </w:trPr>
        <w:tc>
          <w:tcPr>
            <w:tcW w:w="3227" w:type="dxa"/>
            <w:vMerge/>
            <w:shd w:val="clear" w:color="auto" w:fill="FFFFFF" w:themeFill="background1"/>
            <w:noWrap/>
            <w:hideMark/>
          </w:tcPr>
          <w:p w14:paraId="5DFE4303" w14:textId="77777777" w:rsidR="000B4142" w:rsidRPr="00C851D8" w:rsidRDefault="000B4142" w:rsidP="00E64253">
            <w:pPr>
              <w:rPr>
                <w:b/>
                <w:sz w:val="18"/>
                <w:szCs w:val="18"/>
              </w:rPr>
            </w:pPr>
          </w:p>
        </w:tc>
        <w:tc>
          <w:tcPr>
            <w:tcW w:w="10631" w:type="dxa"/>
            <w:gridSpan w:val="10"/>
            <w:noWrap/>
            <w:vAlign w:val="bottom"/>
            <w:hideMark/>
          </w:tcPr>
          <w:p w14:paraId="7E5DC45F" w14:textId="128EBF0F" w:rsidR="000B4142" w:rsidRPr="00C851D8" w:rsidRDefault="000B4142" w:rsidP="00E64253">
            <w:pPr>
              <w:jc w:val="center"/>
              <w:rPr>
                <w:rFonts w:ascii="Calibri" w:hAnsi="Calibri"/>
                <w:b/>
                <w:sz w:val="18"/>
                <w:szCs w:val="18"/>
                <w:lang w:val="en-GB"/>
              </w:rPr>
            </w:pPr>
            <w:r w:rsidRPr="00C851D8">
              <w:rPr>
                <w:rFonts w:ascii="Calibri" w:hAnsi="Calibri"/>
                <w:b/>
                <w:sz w:val="18"/>
                <w:szCs w:val="18"/>
                <w:lang w:val="en-GB"/>
              </w:rPr>
              <w:t>Reference (nmol/L): M&lt;70y: 11,6-71,2, F&lt;50y: 10,5-163,7</w:t>
            </w:r>
          </w:p>
        </w:tc>
      </w:tr>
      <w:tr w:rsidR="00A54BB7" w:rsidRPr="00C851D8" w14:paraId="4D5F4E6A" w14:textId="77777777" w:rsidTr="00E64253">
        <w:trPr>
          <w:trHeight w:val="360"/>
        </w:trPr>
        <w:tc>
          <w:tcPr>
            <w:tcW w:w="3227" w:type="dxa"/>
            <w:vMerge w:val="restart"/>
            <w:shd w:val="clear" w:color="auto" w:fill="FFFFFF" w:themeFill="background1"/>
            <w:noWrap/>
            <w:hideMark/>
          </w:tcPr>
          <w:p w14:paraId="290C137A" w14:textId="20FA7956" w:rsidR="00A54BB7" w:rsidRPr="00FD0654" w:rsidRDefault="00A54BB7" w:rsidP="00A54BB7">
            <w:pPr>
              <w:rPr>
                <w:b/>
                <w:sz w:val="18"/>
                <w:szCs w:val="18"/>
                <w:lang w:val="en-GB"/>
              </w:rPr>
            </w:pPr>
            <w:r w:rsidRPr="00FD0654">
              <w:rPr>
                <w:b/>
                <w:sz w:val="18"/>
                <w:szCs w:val="18"/>
                <w:lang w:val="en-GB"/>
              </w:rPr>
              <w:t>Estradiol</w:t>
            </w:r>
            <w:r w:rsidR="003557E0">
              <w:rPr>
                <w:b/>
                <w:sz w:val="18"/>
                <w:szCs w:val="18"/>
                <w:lang w:val="en-GB"/>
              </w:rPr>
              <w:t xml:space="preserve"> (pmol/L)</w:t>
            </w:r>
          </w:p>
          <w:p w14:paraId="4F53E6FE" w14:textId="77777777" w:rsidR="00A54BB7" w:rsidRPr="00C851D8" w:rsidRDefault="00A54BB7" w:rsidP="00A54BB7">
            <w:pPr>
              <w:rPr>
                <w:b/>
                <w:sz w:val="18"/>
                <w:szCs w:val="18"/>
                <w:lang w:val="en-GB"/>
              </w:rPr>
            </w:pPr>
            <w:r w:rsidRPr="00C851D8">
              <w:rPr>
                <w:sz w:val="16"/>
                <w:szCs w:val="16"/>
                <w:lang w:val="en-GB"/>
              </w:rPr>
              <w:t>Electro-chemoluminescence assay (Roche Diagnostics E170 Modular)</w:t>
            </w:r>
          </w:p>
        </w:tc>
        <w:tc>
          <w:tcPr>
            <w:tcW w:w="1044" w:type="dxa"/>
            <w:noWrap/>
            <w:vAlign w:val="bottom"/>
            <w:hideMark/>
          </w:tcPr>
          <w:p w14:paraId="60D1768A" w14:textId="7745124A" w:rsidR="00A54BB7" w:rsidRDefault="00A54BB7" w:rsidP="00A54BB7">
            <w:pPr>
              <w:jc w:val="right"/>
              <w:rPr>
                <w:rFonts w:ascii="Calibri" w:hAnsi="Calibri"/>
                <w:color w:val="000000"/>
              </w:rPr>
            </w:pPr>
            <w:r>
              <w:rPr>
                <w:rFonts w:ascii="Calibri" w:hAnsi="Calibri"/>
                <w:color w:val="000000"/>
              </w:rPr>
              <w:t>113,685</w:t>
            </w:r>
          </w:p>
        </w:tc>
        <w:tc>
          <w:tcPr>
            <w:tcW w:w="1045" w:type="dxa"/>
            <w:noWrap/>
            <w:vAlign w:val="bottom"/>
            <w:hideMark/>
          </w:tcPr>
          <w:p w14:paraId="5EBD64EC" w14:textId="17D699B5" w:rsidR="00A54BB7" w:rsidRDefault="00A54BB7" w:rsidP="00A54BB7">
            <w:pPr>
              <w:jc w:val="right"/>
              <w:rPr>
                <w:rFonts w:ascii="Calibri" w:hAnsi="Calibri"/>
                <w:color w:val="000000"/>
              </w:rPr>
            </w:pPr>
            <w:r>
              <w:rPr>
                <w:rFonts w:ascii="Calibri" w:hAnsi="Calibri"/>
                <w:color w:val="000000"/>
              </w:rPr>
              <w:t>91,775</w:t>
            </w:r>
          </w:p>
        </w:tc>
        <w:tc>
          <w:tcPr>
            <w:tcW w:w="1045" w:type="dxa"/>
            <w:noWrap/>
            <w:vAlign w:val="bottom"/>
            <w:hideMark/>
          </w:tcPr>
          <w:p w14:paraId="22D594F1" w14:textId="311B7C8B" w:rsidR="00A54BB7" w:rsidRPr="00C851D8" w:rsidRDefault="00A54BB7" w:rsidP="00A54BB7">
            <w:pPr>
              <w:jc w:val="right"/>
              <w:rPr>
                <w:rFonts w:ascii="Calibri" w:hAnsi="Calibri"/>
                <w:b/>
                <w:sz w:val="18"/>
                <w:szCs w:val="18"/>
              </w:rPr>
            </w:pPr>
            <w:r w:rsidRPr="00A54BB7">
              <w:rPr>
                <w:rFonts w:ascii="Calibri" w:hAnsi="Calibri"/>
                <w:b/>
                <w:sz w:val="18"/>
                <w:szCs w:val="18"/>
              </w:rPr>
              <w:t>0,005</w:t>
            </w:r>
          </w:p>
        </w:tc>
        <w:tc>
          <w:tcPr>
            <w:tcW w:w="1044" w:type="dxa"/>
            <w:noWrap/>
            <w:vAlign w:val="bottom"/>
            <w:hideMark/>
          </w:tcPr>
          <w:p w14:paraId="76BFA7E8" w14:textId="52C32CFE" w:rsidR="00A54BB7" w:rsidRPr="0022346A" w:rsidRDefault="00A54BB7" w:rsidP="00A54BB7">
            <w:pPr>
              <w:jc w:val="right"/>
              <w:rPr>
                <w:rFonts w:ascii="Calibri" w:hAnsi="Calibri"/>
                <w:color w:val="000000"/>
              </w:rPr>
            </w:pPr>
            <w:r>
              <w:rPr>
                <w:rFonts w:ascii="Calibri" w:hAnsi="Calibri"/>
                <w:color w:val="000000"/>
              </w:rPr>
              <w:t>91,775</w:t>
            </w:r>
          </w:p>
        </w:tc>
        <w:tc>
          <w:tcPr>
            <w:tcW w:w="1045" w:type="dxa"/>
            <w:noWrap/>
            <w:vAlign w:val="bottom"/>
            <w:hideMark/>
          </w:tcPr>
          <w:p w14:paraId="31995EA0" w14:textId="723C55BF" w:rsidR="00A54BB7" w:rsidRPr="00C851D8" w:rsidRDefault="00A54BB7" w:rsidP="00A54BB7">
            <w:pPr>
              <w:jc w:val="right"/>
              <w:rPr>
                <w:rFonts w:ascii="Calibri" w:hAnsi="Calibri"/>
                <w:b/>
                <w:sz w:val="18"/>
                <w:szCs w:val="18"/>
              </w:rPr>
            </w:pPr>
            <w:r w:rsidRPr="00A54BB7">
              <w:rPr>
                <w:rFonts w:ascii="Calibri" w:hAnsi="Calibri"/>
                <w:b/>
                <w:sz w:val="18"/>
                <w:szCs w:val="18"/>
              </w:rPr>
              <w:t>0,317</w:t>
            </w:r>
          </w:p>
        </w:tc>
        <w:tc>
          <w:tcPr>
            <w:tcW w:w="1045" w:type="dxa"/>
            <w:noWrap/>
            <w:vAlign w:val="bottom"/>
            <w:hideMark/>
          </w:tcPr>
          <w:p w14:paraId="63CFF6F7" w14:textId="4DAE5605" w:rsidR="00A54BB7" w:rsidRDefault="00A54BB7" w:rsidP="00A54BB7">
            <w:pPr>
              <w:jc w:val="right"/>
              <w:rPr>
                <w:rFonts w:ascii="Calibri" w:hAnsi="Calibri"/>
                <w:color w:val="000000"/>
              </w:rPr>
            </w:pPr>
            <w:r>
              <w:rPr>
                <w:rFonts w:ascii="Calibri" w:hAnsi="Calibri"/>
                <w:color w:val="000000"/>
              </w:rPr>
              <w:t>91,775</w:t>
            </w:r>
          </w:p>
        </w:tc>
        <w:tc>
          <w:tcPr>
            <w:tcW w:w="1044" w:type="dxa"/>
            <w:noWrap/>
            <w:vAlign w:val="bottom"/>
            <w:hideMark/>
          </w:tcPr>
          <w:p w14:paraId="3C424F93" w14:textId="50884113" w:rsidR="00A54BB7" w:rsidRDefault="00A54BB7" w:rsidP="00A54BB7">
            <w:pPr>
              <w:jc w:val="right"/>
              <w:rPr>
                <w:rFonts w:ascii="Calibri" w:hAnsi="Calibri"/>
                <w:color w:val="000000"/>
              </w:rPr>
            </w:pPr>
            <w:r>
              <w:rPr>
                <w:rFonts w:ascii="Calibri" w:hAnsi="Calibri"/>
                <w:color w:val="000000"/>
              </w:rPr>
              <w:t>121,208</w:t>
            </w:r>
          </w:p>
        </w:tc>
        <w:tc>
          <w:tcPr>
            <w:tcW w:w="1045" w:type="dxa"/>
            <w:noWrap/>
            <w:vAlign w:val="bottom"/>
            <w:hideMark/>
          </w:tcPr>
          <w:p w14:paraId="56F39F2E" w14:textId="16E4D654" w:rsidR="00A54BB7" w:rsidRPr="00C851D8" w:rsidRDefault="00A54BB7" w:rsidP="00A54BB7">
            <w:pPr>
              <w:jc w:val="right"/>
              <w:rPr>
                <w:rFonts w:ascii="Calibri" w:hAnsi="Calibri"/>
                <w:b/>
                <w:sz w:val="18"/>
                <w:szCs w:val="18"/>
              </w:rPr>
            </w:pPr>
            <w:r w:rsidRPr="00A54BB7">
              <w:rPr>
                <w:rFonts w:ascii="Calibri" w:hAnsi="Calibri"/>
                <w:b/>
                <w:sz w:val="18"/>
                <w:szCs w:val="18"/>
              </w:rPr>
              <w:t>0,012</w:t>
            </w:r>
          </w:p>
        </w:tc>
        <w:tc>
          <w:tcPr>
            <w:tcW w:w="1045" w:type="dxa"/>
            <w:noWrap/>
            <w:vAlign w:val="bottom"/>
            <w:hideMark/>
          </w:tcPr>
          <w:p w14:paraId="5B2E8D50" w14:textId="491C15DE" w:rsidR="00A54BB7" w:rsidRPr="00C0471C" w:rsidRDefault="00A54BB7" w:rsidP="00A54BB7">
            <w:pPr>
              <w:jc w:val="right"/>
              <w:rPr>
                <w:rFonts w:ascii="Calibri" w:hAnsi="Calibri"/>
                <w:color w:val="000000"/>
              </w:rPr>
            </w:pPr>
            <w:r>
              <w:rPr>
                <w:rFonts w:ascii="Calibri" w:hAnsi="Calibri"/>
                <w:color w:val="000000"/>
              </w:rPr>
              <w:t>114,984</w:t>
            </w:r>
          </w:p>
        </w:tc>
        <w:tc>
          <w:tcPr>
            <w:tcW w:w="1229" w:type="dxa"/>
            <w:noWrap/>
            <w:vAlign w:val="bottom"/>
            <w:hideMark/>
          </w:tcPr>
          <w:p w14:paraId="23F01B98" w14:textId="232F3593" w:rsidR="00A54BB7" w:rsidRPr="00C851D8" w:rsidRDefault="00A54BB7" w:rsidP="00A54BB7">
            <w:pPr>
              <w:jc w:val="right"/>
              <w:rPr>
                <w:rFonts w:ascii="Calibri" w:hAnsi="Calibri"/>
                <w:b/>
                <w:sz w:val="18"/>
                <w:szCs w:val="18"/>
              </w:rPr>
            </w:pPr>
            <w:r w:rsidRPr="00A54BB7">
              <w:rPr>
                <w:rFonts w:ascii="Calibri" w:hAnsi="Calibri"/>
                <w:b/>
                <w:sz w:val="18"/>
                <w:szCs w:val="18"/>
              </w:rPr>
              <w:t>0,068</w:t>
            </w:r>
          </w:p>
        </w:tc>
      </w:tr>
      <w:tr w:rsidR="00FE7A56" w:rsidRPr="002A729A" w14:paraId="301A78DA" w14:textId="77777777" w:rsidTr="00E64253">
        <w:trPr>
          <w:trHeight w:val="360"/>
        </w:trPr>
        <w:tc>
          <w:tcPr>
            <w:tcW w:w="3227" w:type="dxa"/>
            <w:vMerge/>
            <w:shd w:val="clear" w:color="auto" w:fill="FFFFFF" w:themeFill="background1"/>
            <w:noWrap/>
            <w:hideMark/>
          </w:tcPr>
          <w:p w14:paraId="5C501B30" w14:textId="77777777" w:rsidR="00FE7A56" w:rsidRPr="00C851D8" w:rsidRDefault="00FE7A56" w:rsidP="00E64253">
            <w:pPr>
              <w:rPr>
                <w:b/>
                <w:sz w:val="18"/>
                <w:szCs w:val="18"/>
              </w:rPr>
            </w:pPr>
          </w:p>
        </w:tc>
        <w:tc>
          <w:tcPr>
            <w:tcW w:w="10631" w:type="dxa"/>
            <w:gridSpan w:val="10"/>
            <w:noWrap/>
            <w:vAlign w:val="bottom"/>
            <w:hideMark/>
          </w:tcPr>
          <w:p w14:paraId="082FE2BF" w14:textId="77777777" w:rsidR="00FE7A56" w:rsidRPr="00C851D8" w:rsidRDefault="00FE7A56" w:rsidP="00E64253">
            <w:pPr>
              <w:jc w:val="center"/>
              <w:rPr>
                <w:rFonts w:ascii="Calibri" w:hAnsi="Calibri"/>
                <w:b/>
                <w:sz w:val="18"/>
                <w:szCs w:val="18"/>
                <w:lang w:val="en-GB"/>
              </w:rPr>
            </w:pPr>
            <w:r w:rsidRPr="00C851D8">
              <w:rPr>
                <w:rFonts w:ascii="Calibri" w:hAnsi="Calibri"/>
                <w:b/>
                <w:sz w:val="18"/>
                <w:szCs w:val="18"/>
                <w:lang w:val="en-GB"/>
              </w:rPr>
              <w:t>Reference (pmol/L): M: 99.484-191.626, F: 98.016-1152.694 (cycle dependant)</w:t>
            </w:r>
          </w:p>
        </w:tc>
      </w:tr>
      <w:tr w:rsidR="005A4DD2" w:rsidRPr="00C851D8" w14:paraId="09F61DF5" w14:textId="77777777" w:rsidTr="00E64253">
        <w:trPr>
          <w:trHeight w:val="300"/>
        </w:trPr>
        <w:tc>
          <w:tcPr>
            <w:tcW w:w="3227" w:type="dxa"/>
            <w:vMerge w:val="restart"/>
            <w:shd w:val="clear" w:color="auto" w:fill="FFFFFF" w:themeFill="background1"/>
            <w:noWrap/>
            <w:hideMark/>
          </w:tcPr>
          <w:p w14:paraId="029B1745" w14:textId="4693D6B0" w:rsidR="005A4DD2" w:rsidRPr="00FD0654" w:rsidRDefault="005A4DD2" w:rsidP="005A4DD2">
            <w:pPr>
              <w:rPr>
                <w:b/>
                <w:sz w:val="18"/>
                <w:szCs w:val="18"/>
                <w:lang w:val="en-GB"/>
              </w:rPr>
            </w:pPr>
            <w:r w:rsidRPr="00FD0654">
              <w:rPr>
                <w:b/>
                <w:sz w:val="18"/>
                <w:szCs w:val="18"/>
                <w:lang w:val="en-GB"/>
              </w:rPr>
              <w:t>Testosterone</w:t>
            </w:r>
            <w:r w:rsidR="003557E0">
              <w:rPr>
                <w:b/>
                <w:sz w:val="18"/>
                <w:szCs w:val="18"/>
                <w:lang w:val="en-GB"/>
              </w:rPr>
              <w:t xml:space="preserve"> (nmol/L)</w:t>
            </w:r>
          </w:p>
          <w:p w14:paraId="12D85DE7" w14:textId="77777777" w:rsidR="005A4DD2" w:rsidRPr="00C851D8" w:rsidRDefault="005A4DD2" w:rsidP="005A4DD2">
            <w:pPr>
              <w:rPr>
                <w:b/>
                <w:sz w:val="18"/>
                <w:szCs w:val="18"/>
                <w:lang w:val="en-GB"/>
              </w:rPr>
            </w:pPr>
            <w:r w:rsidRPr="00C851D8">
              <w:rPr>
                <w:sz w:val="16"/>
                <w:szCs w:val="16"/>
                <w:lang w:val="en-GB"/>
              </w:rPr>
              <w:t>liquid chromatography tandem mass spectrometry (LC/MSMS)</w:t>
            </w:r>
          </w:p>
        </w:tc>
        <w:tc>
          <w:tcPr>
            <w:tcW w:w="1044" w:type="dxa"/>
            <w:noWrap/>
            <w:vAlign w:val="bottom"/>
            <w:hideMark/>
          </w:tcPr>
          <w:p w14:paraId="1197245D" w14:textId="5C3BE535" w:rsidR="005A4DD2" w:rsidRDefault="005A4DD2" w:rsidP="005A4DD2">
            <w:pPr>
              <w:jc w:val="right"/>
              <w:rPr>
                <w:rFonts w:ascii="Calibri" w:hAnsi="Calibri"/>
                <w:color w:val="000000"/>
              </w:rPr>
            </w:pPr>
            <w:r>
              <w:rPr>
                <w:rFonts w:ascii="Calibri" w:hAnsi="Calibri"/>
                <w:color w:val="000000"/>
              </w:rPr>
              <w:t>15,821</w:t>
            </w:r>
          </w:p>
        </w:tc>
        <w:tc>
          <w:tcPr>
            <w:tcW w:w="1045" w:type="dxa"/>
            <w:noWrap/>
            <w:vAlign w:val="bottom"/>
            <w:hideMark/>
          </w:tcPr>
          <w:p w14:paraId="6E5ACC2A" w14:textId="084A9A34" w:rsidR="005A4DD2" w:rsidRDefault="005A4DD2" w:rsidP="005A4DD2">
            <w:pPr>
              <w:jc w:val="right"/>
              <w:rPr>
                <w:rFonts w:ascii="Calibri" w:hAnsi="Calibri"/>
                <w:color w:val="000000"/>
              </w:rPr>
            </w:pPr>
            <w:r>
              <w:rPr>
                <w:rFonts w:ascii="Calibri" w:hAnsi="Calibri"/>
                <w:color w:val="000000"/>
              </w:rPr>
              <w:t>8,696</w:t>
            </w:r>
          </w:p>
        </w:tc>
        <w:tc>
          <w:tcPr>
            <w:tcW w:w="1045" w:type="dxa"/>
            <w:noWrap/>
            <w:vAlign w:val="bottom"/>
            <w:hideMark/>
          </w:tcPr>
          <w:p w14:paraId="2C5752EE" w14:textId="760D3FC5" w:rsidR="005A4DD2" w:rsidRPr="00C851D8" w:rsidRDefault="005A4DD2" w:rsidP="005A4DD2">
            <w:pPr>
              <w:jc w:val="right"/>
              <w:rPr>
                <w:rFonts w:ascii="Calibri" w:hAnsi="Calibri"/>
                <w:b/>
                <w:sz w:val="18"/>
                <w:szCs w:val="18"/>
              </w:rPr>
            </w:pPr>
            <w:r w:rsidRPr="005A4DD2">
              <w:rPr>
                <w:rFonts w:ascii="Calibri" w:hAnsi="Calibri"/>
                <w:b/>
                <w:sz w:val="18"/>
                <w:szCs w:val="18"/>
              </w:rPr>
              <w:t>&lt;0,001</w:t>
            </w:r>
          </w:p>
        </w:tc>
        <w:tc>
          <w:tcPr>
            <w:tcW w:w="1044" w:type="dxa"/>
            <w:noWrap/>
            <w:vAlign w:val="bottom"/>
            <w:hideMark/>
          </w:tcPr>
          <w:p w14:paraId="2D154F0D" w14:textId="42486F28" w:rsidR="005A4DD2" w:rsidRPr="00C0471C" w:rsidRDefault="005A4DD2" w:rsidP="005A4DD2">
            <w:pPr>
              <w:jc w:val="right"/>
              <w:rPr>
                <w:rFonts w:ascii="Calibri" w:hAnsi="Calibri"/>
                <w:color w:val="000000"/>
              </w:rPr>
            </w:pPr>
            <w:r>
              <w:rPr>
                <w:rFonts w:ascii="Calibri" w:hAnsi="Calibri"/>
                <w:color w:val="000000"/>
              </w:rPr>
              <w:t>7,348</w:t>
            </w:r>
          </w:p>
        </w:tc>
        <w:tc>
          <w:tcPr>
            <w:tcW w:w="1045" w:type="dxa"/>
            <w:noWrap/>
            <w:vAlign w:val="bottom"/>
            <w:hideMark/>
          </w:tcPr>
          <w:p w14:paraId="2586705A" w14:textId="136B2676" w:rsidR="005A4DD2" w:rsidRPr="00C851D8" w:rsidRDefault="005A4DD2" w:rsidP="005A4DD2">
            <w:pPr>
              <w:jc w:val="right"/>
              <w:rPr>
                <w:rFonts w:ascii="Calibri" w:hAnsi="Calibri"/>
                <w:b/>
                <w:sz w:val="18"/>
                <w:szCs w:val="18"/>
              </w:rPr>
            </w:pPr>
            <w:r w:rsidRPr="005A4DD2">
              <w:rPr>
                <w:rFonts w:ascii="Calibri" w:hAnsi="Calibri"/>
                <w:b/>
                <w:sz w:val="18"/>
                <w:szCs w:val="18"/>
              </w:rPr>
              <w:t>0,022</w:t>
            </w:r>
          </w:p>
        </w:tc>
        <w:tc>
          <w:tcPr>
            <w:tcW w:w="1045" w:type="dxa"/>
            <w:noWrap/>
            <w:vAlign w:val="bottom"/>
            <w:hideMark/>
          </w:tcPr>
          <w:p w14:paraId="3191033D" w14:textId="2E3456BE" w:rsidR="005A4DD2" w:rsidRDefault="005A4DD2" w:rsidP="005A4DD2">
            <w:pPr>
              <w:jc w:val="right"/>
              <w:rPr>
                <w:rFonts w:ascii="Calibri" w:hAnsi="Calibri"/>
                <w:color w:val="000000"/>
              </w:rPr>
            </w:pPr>
            <w:r>
              <w:rPr>
                <w:rFonts w:ascii="Calibri" w:hAnsi="Calibri"/>
                <w:color w:val="000000"/>
              </w:rPr>
              <w:t>9,582</w:t>
            </w:r>
          </w:p>
        </w:tc>
        <w:tc>
          <w:tcPr>
            <w:tcW w:w="1044" w:type="dxa"/>
            <w:noWrap/>
            <w:vAlign w:val="bottom"/>
            <w:hideMark/>
          </w:tcPr>
          <w:p w14:paraId="23360D22" w14:textId="2DE7177F" w:rsidR="005A4DD2" w:rsidRDefault="005A4DD2" w:rsidP="005A4DD2">
            <w:pPr>
              <w:jc w:val="right"/>
              <w:rPr>
                <w:rFonts w:ascii="Calibri" w:hAnsi="Calibri"/>
                <w:color w:val="000000"/>
              </w:rPr>
            </w:pPr>
            <w:r>
              <w:rPr>
                <w:rFonts w:ascii="Calibri" w:hAnsi="Calibri"/>
                <w:color w:val="000000"/>
              </w:rPr>
              <w:t>6,857</w:t>
            </w:r>
          </w:p>
        </w:tc>
        <w:tc>
          <w:tcPr>
            <w:tcW w:w="1045" w:type="dxa"/>
            <w:noWrap/>
            <w:vAlign w:val="bottom"/>
            <w:hideMark/>
          </w:tcPr>
          <w:p w14:paraId="6BA2A040" w14:textId="7DF2B302" w:rsidR="005A4DD2" w:rsidRPr="00C851D8" w:rsidRDefault="005A4DD2" w:rsidP="005A4DD2">
            <w:pPr>
              <w:jc w:val="right"/>
              <w:rPr>
                <w:rFonts w:ascii="Calibri" w:hAnsi="Calibri"/>
                <w:b/>
                <w:sz w:val="18"/>
                <w:szCs w:val="18"/>
              </w:rPr>
            </w:pPr>
            <w:r w:rsidRPr="005A4DD2">
              <w:rPr>
                <w:rFonts w:ascii="Calibri" w:hAnsi="Calibri"/>
                <w:b/>
                <w:sz w:val="18"/>
                <w:szCs w:val="18"/>
              </w:rPr>
              <w:t>0,008</w:t>
            </w:r>
          </w:p>
        </w:tc>
        <w:tc>
          <w:tcPr>
            <w:tcW w:w="1045" w:type="dxa"/>
            <w:noWrap/>
            <w:vAlign w:val="bottom"/>
            <w:hideMark/>
          </w:tcPr>
          <w:p w14:paraId="58EA9B5A" w14:textId="08F6CCB5" w:rsidR="005A4DD2" w:rsidRPr="00C0471C" w:rsidRDefault="005A4DD2" w:rsidP="005A4DD2">
            <w:pPr>
              <w:jc w:val="right"/>
              <w:rPr>
                <w:rFonts w:ascii="Calibri" w:hAnsi="Calibri"/>
                <w:color w:val="000000"/>
              </w:rPr>
            </w:pPr>
            <w:r>
              <w:rPr>
                <w:rFonts w:ascii="Calibri" w:hAnsi="Calibri"/>
                <w:color w:val="000000"/>
              </w:rPr>
              <w:t>5,951</w:t>
            </w:r>
          </w:p>
        </w:tc>
        <w:tc>
          <w:tcPr>
            <w:tcW w:w="1229" w:type="dxa"/>
            <w:noWrap/>
            <w:vAlign w:val="bottom"/>
            <w:hideMark/>
          </w:tcPr>
          <w:p w14:paraId="3B56BF4F" w14:textId="5701BC6B" w:rsidR="005A4DD2" w:rsidRPr="00C851D8" w:rsidRDefault="005A4DD2" w:rsidP="005A4DD2">
            <w:pPr>
              <w:jc w:val="right"/>
              <w:rPr>
                <w:rFonts w:ascii="Calibri" w:hAnsi="Calibri"/>
                <w:b/>
                <w:sz w:val="18"/>
                <w:szCs w:val="18"/>
              </w:rPr>
            </w:pPr>
            <w:r w:rsidRPr="005A4DD2">
              <w:rPr>
                <w:rFonts w:ascii="Calibri" w:hAnsi="Calibri"/>
                <w:b/>
                <w:sz w:val="18"/>
                <w:szCs w:val="18"/>
              </w:rPr>
              <w:t>0,074</w:t>
            </w:r>
          </w:p>
        </w:tc>
      </w:tr>
      <w:tr w:rsidR="00FE7A56" w:rsidRPr="002A729A" w14:paraId="246CF97B" w14:textId="77777777" w:rsidTr="00E64253">
        <w:trPr>
          <w:trHeight w:val="300"/>
        </w:trPr>
        <w:tc>
          <w:tcPr>
            <w:tcW w:w="3227" w:type="dxa"/>
            <w:vMerge/>
            <w:shd w:val="clear" w:color="auto" w:fill="FFFFFF" w:themeFill="background1"/>
            <w:noWrap/>
            <w:hideMark/>
          </w:tcPr>
          <w:p w14:paraId="41E7F4D4" w14:textId="77777777" w:rsidR="00FE7A56" w:rsidRPr="00C851D8" w:rsidRDefault="00FE7A56" w:rsidP="00E64253">
            <w:pPr>
              <w:rPr>
                <w:b/>
                <w:sz w:val="18"/>
                <w:szCs w:val="18"/>
              </w:rPr>
            </w:pPr>
          </w:p>
        </w:tc>
        <w:tc>
          <w:tcPr>
            <w:tcW w:w="10631" w:type="dxa"/>
            <w:gridSpan w:val="10"/>
            <w:noWrap/>
            <w:vAlign w:val="bottom"/>
            <w:hideMark/>
          </w:tcPr>
          <w:p w14:paraId="7AA84506" w14:textId="77777777" w:rsidR="00FE7A56" w:rsidRPr="00C851D8" w:rsidRDefault="00FE7A56" w:rsidP="00E64253">
            <w:pPr>
              <w:jc w:val="center"/>
              <w:rPr>
                <w:rFonts w:ascii="Calibri" w:hAnsi="Calibri"/>
                <w:b/>
                <w:sz w:val="18"/>
                <w:szCs w:val="18"/>
                <w:lang w:val="en-GB"/>
              </w:rPr>
            </w:pPr>
            <w:r w:rsidRPr="00C851D8">
              <w:rPr>
                <w:rFonts w:ascii="Calibri" w:hAnsi="Calibri"/>
                <w:b/>
                <w:sz w:val="18"/>
                <w:szCs w:val="18"/>
                <w:lang w:val="en-GB"/>
              </w:rPr>
              <w:t>Reference (nmol/L): M: 11.139-34.874, F&lt;50y: 0.291-1.669</w:t>
            </w:r>
          </w:p>
        </w:tc>
      </w:tr>
      <w:tr w:rsidR="005A4DD2" w:rsidRPr="00C851D8" w14:paraId="22A564A8" w14:textId="77777777" w:rsidTr="00E64253">
        <w:trPr>
          <w:trHeight w:val="300"/>
        </w:trPr>
        <w:tc>
          <w:tcPr>
            <w:tcW w:w="3227" w:type="dxa"/>
            <w:vMerge w:val="restart"/>
            <w:shd w:val="clear" w:color="auto" w:fill="FFFFFF" w:themeFill="background1"/>
            <w:noWrap/>
            <w:hideMark/>
          </w:tcPr>
          <w:p w14:paraId="03ABB8BB" w14:textId="6F8F26A9" w:rsidR="005A4DD2" w:rsidRPr="001F023A" w:rsidRDefault="005A4DD2" w:rsidP="005A4DD2">
            <w:pPr>
              <w:rPr>
                <w:b/>
                <w:sz w:val="18"/>
                <w:szCs w:val="18"/>
                <w:lang w:val="en-US"/>
              </w:rPr>
            </w:pPr>
            <w:r w:rsidRPr="001F023A">
              <w:rPr>
                <w:b/>
                <w:sz w:val="18"/>
                <w:szCs w:val="18"/>
                <w:lang w:val="en-US"/>
              </w:rPr>
              <w:t>Free Testosterone</w:t>
            </w:r>
            <w:r w:rsidR="003557E0" w:rsidRPr="001F023A">
              <w:rPr>
                <w:b/>
                <w:sz w:val="18"/>
                <w:szCs w:val="18"/>
                <w:lang w:val="en-US"/>
              </w:rPr>
              <w:t xml:space="preserve"> (pmol/L)</w:t>
            </w:r>
          </w:p>
          <w:p w14:paraId="6DDA97A0" w14:textId="77777777" w:rsidR="005A4DD2" w:rsidRPr="001F023A" w:rsidRDefault="005A4DD2" w:rsidP="005A4DD2">
            <w:pPr>
              <w:rPr>
                <w:b/>
                <w:sz w:val="18"/>
                <w:szCs w:val="18"/>
                <w:lang w:val="en-US"/>
              </w:rPr>
            </w:pPr>
            <w:r w:rsidRPr="00C851D8">
              <w:rPr>
                <w:sz w:val="16"/>
                <w:szCs w:val="16"/>
                <w:lang w:val="en-GB"/>
              </w:rPr>
              <w:t>Calculated</w:t>
            </w:r>
          </w:p>
        </w:tc>
        <w:tc>
          <w:tcPr>
            <w:tcW w:w="1044" w:type="dxa"/>
            <w:noWrap/>
            <w:vAlign w:val="bottom"/>
            <w:hideMark/>
          </w:tcPr>
          <w:p w14:paraId="75F7D014" w14:textId="30F3C0E5" w:rsidR="005A4DD2" w:rsidRDefault="005A4DD2" w:rsidP="005A4DD2">
            <w:pPr>
              <w:jc w:val="right"/>
              <w:rPr>
                <w:rFonts w:ascii="Calibri" w:hAnsi="Calibri"/>
                <w:color w:val="000000"/>
              </w:rPr>
            </w:pPr>
            <w:r>
              <w:rPr>
                <w:rFonts w:ascii="Calibri" w:hAnsi="Calibri"/>
                <w:color w:val="000000"/>
              </w:rPr>
              <w:t>339,824</w:t>
            </w:r>
          </w:p>
        </w:tc>
        <w:tc>
          <w:tcPr>
            <w:tcW w:w="1045" w:type="dxa"/>
            <w:noWrap/>
            <w:vAlign w:val="bottom"/>
            <w:hideMark/>
          </w:tcPr>
          <w:p w14:paraId="3EF69251" w14:textId="1D449FA5" w:rsidR="005A4DD2" w:rsidRDefault="005A4DD2" w:rsidP="005A4DD2">
            <w:pPr>
              <w:jc w:val="right"/>
              <w:rPr>
                <w:rFonts w:ascii="Calibri" w:hAnsi="Calibri"/>
                <w:color w:val="000000"/>
              </w:rPr>
            </w:pPr>
            <w:r>
              <w:rPr>
                <w:rFonts w:ascii="Calibri" w:hAnsi="Calibri"/>
                <w:color w:val="000000"/>
              </w:rPr>
              <w:t>186,058</w:t>
            </w:r>
          </w:p>
        </w:tc>
        <w:tc>
          <w:tcPr>
            <w:tcW w:w="1045" w:type="dxa"/>
            <w:noWrap/>
            <w:vAlign w:val="bottom"/>
            <w:hideMark/>
          </w:tcPr>
          <w:p w14:paraId="1457FB6E" w14:textId="4CDF16C1" w:rsidR="005A4DD2" w:rsidRPr="00C851D8" w:rsidRDefault="005A4DD2" w:rsidP="005A4DD2">
            <w:pPr>
              <w:jc w:val="right"/>
              <w:rPr>
                <w:rFonts w:ascii="Calibri" w:hAnsi="Calibri"/>
                <w:b/>
                <w:sz w:val="18"/>
                <w:szCs w:val="18"/>
              </w:rPr>
            </w:pPr>
            <w:r w:rsidRPr="005A4DD2">
              <w:rPr>
                <w:rFonts w:ascii="Calibri" w:hAnsi="Calibri"/>
                <w:b/>
                <w:sz w:val="18"/>
                <w:szCs w:val="18"/>
              </w:rPr>
              <w:t>0,002</w:t>
            </w:r>
          </w:p>
        </w:tc>
        <w:tc>
          <w:tcPr>
            <w:tcW w:w="1044" w:type="dxa"/>
            <w:noWrap/>
            <w:vAlign w:val="bottom"/>
            <w:hideMark/>
          </w:tcPr>
          <w:p w14:paraId="0E5561D0" w14:textId="28329496" w:rsidR="005A4DD2" w:rsidRPr="00C0471C" w:rsidRDefault="005A4DD2" w:rsidP="005A4DD2">
            <w:pPr>
              <w:jc w:val="right"/>
              <w:rPr>
                <w:rFonts w:ascii="Calibri" w:hAnsi="Calibri"/>
                <w:color w:val="000000"/>
              </w:rPr>
            </w:pPr>
            <w:r>
              <w:rPr>
                <w:rFonts w:ascii="Calibri" w:hAnsi="Calibri"/>
                <w:color w:val="000000"/>
              </w:rPr>
              <w:t>183,174</w:t>
            </w:r>
          </w:p>
        </w:tc>
        <w:tc>
          <w:tcPr>
            <w:tcW w:w="1045" w:type="dxa"/>
            <w:noWrap/>
            <w:vAlign w:val="bottom"/>
            <w:hideMark/>
          </w:tcPr>
          <w:p w14:paraId="7C961A89" w14:textId="0564A8F5" w:rsidR="005A4DD2" w:rsidRPr="00C851D8" w:rsidRDefault="005A4DD2" w:rsidP="005A4DD2">
            <w:pPr>
              <w:jc w:val="right"/>
              <w:rPr>
                <w:rFonts w:ascii="Calibri" w:hAnsi="Calibri"/>
                <w:b/>
                <w:sz w:val="18"/>
                <w:szCs w:val="18"/>
              </w:rPr>
            </w:pPr>
            <w:r w:rsidRPr="005A4DD2">
              <w:rPr>
                <w:rFonts w:ascii="Calibri" w:hAnsi="Calibri"/>
                <w:b/>
                <w:sz w:val="18"/>
                <w:szCs w:val="18"/>
              </w:rPr>
              <w:t>0,889</w:t>
            </w:r>
          </w:p>
        </w:tc>
        <w:tc>
          <w:tcPr>
            <w:tcW w:w="1045" w:type="dxa"/>
            <w:noWrap/>
            <w:vAlign w:val="bottom"/>
            <w:hideMark/>
          </w:tcPr>
          <w:p w14:paraId="2584FFE5" w14:textId="335AC753" w:rsidR="005A4DD2" w:rsidRDefault="005A4DD2" w:rsidP="005A4DD2">
            <w:pPr>
              <w:jc w:val="right"/>
              <w:rPr>
                <w:rFonts w:ascii="Calibri" w:hAnsi="Calibri"/>
                <w:color w:val="000000"/>
              </w:rPr>
            </w:pPr>
            <w:r>
              <w:rPr>
                <w:rFonts w:ascii="Calibri" w:hAnsi="Calibri"/>
                <w:color w:val="000000"/>
              </w:rPr>
              <w:t>184,528</w:t>
            </w:r>
          </w:p>
        </w:tc>
        <w:tc>
          <w:tcPr>
            <w:tcW w:w="1044" w:type="dxa"/>
            <w:noWrap/>
            <w:vAlign w:val="bottom"/>
            <w:hideMark/>
          </w:tcPr>
          <w:p w14:paraId="7A59AD0F" w14:textId="04B47997" w:rsidR="005A4DD2" w:rsidRDefault="005A4DD2" w:rsidP="005A4DD2">
            <w:pPr>
              <w:jc w:val="right"/>
              <w:rPr>
                <w:rFonts w:ascii="Calibri" w:hAnsi="Calibri"/>
                <w:color w:val="000000"/>
              </w:rPr>
            </w:pPr>
            <w:r>
              <w:rPr>
                <w:rFonts w:ascii="Calibri" w:hAnsi="Calibri"/>
                <w:color w:val="000000"/>
              </w:rPr>
              <w:t>116,117</w:t>
            </w:r>
          </w:p>
        </w:tc>
        <w:tc>
          <w:tcPr>
            <w:tcW w:w="1045" w:type="dxa"/>
            <w:noWrap/>
            <w:vAlign w:val="bottom"/>
            <w:hideMark/>
          </w:tcPr>
          <w:p w14:paraId="5D51137B" w14:textId="6B32B644" w:rsidR="005A4DD2" w:rsidRPr="00C851D8" w:rsidRDefault="005A4DD2" w:rsidP="005A4DD2">
            <w:pPr>
              <w:jc w:val="right"/>
              <w:rPr>
                <w:rFonts w:ascii="Calibri" w:hAnsi="Calibri"/>
                <w:b/>
                <w:sz w:val="18"/>
                <w:szCs w:val="18"/>
              </w:rPr>
            </w:pPr>
            <w:r w:rsidRPr="005A4DD2">
              <w:rPr>
                <w:rFonts w:ascii="Calibri" w:hAnsi="Calibri"/>
                <w:b/>
                <w:sz w:val="18"/>
                <w:szCs w:val="18"/>
              </w:rPr>
              <w:t>0,004</w:t>
            </w:r>
          </w:p>
        </w:tc>
        <w:tc>
          <w:tcPr>
            <w:tcW w:w="1045" w:type="dxa"/>
            <w:noWrap/>
            <w:vAlign w:val="bottom"/>
            <w:hideMark/>
          </w:tcPr>
          <w:p w14:paraId="0A65396B" w14:textId="44927E01" w:rsidR="005A4DD2" w:rsidRPr="00C0471C" w:rsidRDefault="005A4DD2" w:rsidP="005A4DD2">
            <w:pPr>
              <w:jc w:val="right"/>
              <w:rPr>
                <w:rFonts w:ascii="Calibri" w:hAnsi="Calibri"/>
                <w:color w:val="000000"/>
              </w:rPr>
            </w:pPr>
            <w:r>
              <w:rPr>
                <w:rFonts w:ascii="Calibri" w:hAnsi="Calibri"/>
                <w:color w:val="000000"/>
              </w:rPr>
              <w:t>117,546</w:t>
            </w:r>
          </w:p>
        </w:tc>
        <w:tc>
          <w:tcPr>
            <w:tcW w:w="1229" w:type="dxa"/>
            <w:noWrap/>
            <w:vAlign w:val="bottom"/>
            <w:hideMark/>
          </w:tcPr>
          <w:p w14:paraId="68586847" w14:textId="5A51C7A9" w:rsidR="005A4DD2" w:rsidRPr="00C851D8" w:rsidRDefault="005A4DD2" w:rsidP="005A4DD2">
            <w:pPr>
              <w:jc w:val="right"/>
              <w:rPr>
                <w:rFonts w:ascii="Calibri" w:hAnsi="Calibri"/>
                <w:b/>
                <w:sz w:val="18"/>
                <w:szCs w:val="18"/>
              </w:rPr>
            </w:pPr>
            <w:r w:rsidRPr="005A4DD2">
              <w:rPr>
                <w:rFonts w:ascii="Calibri" w:hAnsi="Calibri"/>
                <w:b/>
                <w:sz w:val="18"/>
                <w:szCs w:val="18"/>
              </w:rPr>
              <w:t>0,208</w:t>
            </w:r>
          </w:p>
        </w:tc>
      </w:tr>
      <w:tr w:rsidR="00FE7A56" w:rsidRPr="002A729A" w14:paraId="73BDDBB5" w14:textId="77777777" w:rsidTr="00E64253">
        <w:trPr>
          <w:trHeight w:val="300"/>
        </w:trPr>
        <w:tc>
          <w:tcPr>
            <w:tcW w:w="3227" w:type="dxa"/>
            <w:vMerge/>
            <w:shd w:val="clear" w:color="auto" w:fill="FFFFFF" w:themeFill="background1"/>
            <w:noWrap/>
            <w:hideMark/>
          </w:tcPr>
          <w:p w14:paraId="3E1333FC" w14:textId="77777777" w:rsidR="00FE7A56" w:rsidRPr="00C851D8" w:rsidRDefault="00FE7A56" w:rsidP="00E64253">
            <w:pPr>
              <w:rPr>
                <w:b/>
                <w:sz w:val="18"/>
                <w:szCs w:val="18"/>
              </w:rPr>
            </w:pPr>
          </w:p>
        </w:tc>
        <w:tc>
          <w:tcPr>
            <w:tcW w:w="10631" w:type="dxa"/>
            <w:gridSpan w:val="10"/>
            <w:noWrap/>
            <w:vAlign w:val="bottom"/>
            <w:hideMark/>
          </w:tcPr>
          <w:p w14:paraId="01BE11CF" w14:textId="77777777" w:rsidR="00FE7A56" w:rsidRPr="00C851D8" w:rsidRDefault="00FE7A56" w:rsidP="00E64253">
            <w:pPr>
              <w:jc w:val="center"/>
              <w:rPr>
                <w:rFonts w:ascii="Calibri" w:hAnsi="Calibri"/>
                <w:b/>
                <w:sz w:val="18"/>
                <w:szCs w:val="18"/>
                <w:lang w:val="en-GB"/>
              </w:rPr>
            </w:pPr>
            <w:r w:rsidRPr="00C851D8">
              <w:rPr>
                <w:rFonts w:ascii="Calibri" w:hAnsi="Calibri"/>
                <w:b/>
                <w:sz w:val="18"/>
                <w:szCs w:val="18"/>
                <w:lang w:val="en-GB"/>
              </w:rPr>
              <w:t xml:space="preserve">Reference (pmol/L): </w:t>
            </w:r>
            <w:r>
              <w:rPr>
                <w:rFonts w:ascii="Calibri" w:hAnsi="Calibri"/>
                <w:b/>
                <w:sz w:val="18"/>
                <w:szCs w:val="18"/>
                <w:lang w:val="en-GB"/>
              </w:rPr>
              <w:t>M:</w:t>
            </w:r>
            <w:r w:rsidRPr="00C851D8">
              <w:rPr>
                <w:rFonts w:ascii="Calibri" w:hAnsi="Calibri"/>
                <w:b/>
                <w:sz w:val="18"/>
                <w:szCs w:val="18"/>
                <w:lang w:val="en-GB"/>
              </w:rPr>
              <w:t xml:space="preserve"> 208.2-867.5, F: 0.694-22.208</w:t>
            </w:r>
          </w:p>
        </w:tc>
      </w:tr>
      <w:tr w:rsidR="00FE7A56" w:rsidRPr="00C851D8" w14:paraId="2FCB6CFA" w14:textId="77777777" w:rsidTr="00E64253">
        <w:trPr>
          <w:trHeight w:val="300"/>
        </w:trPr>
        <w:tc>
          <w:tcPr>
            <w:tcW w:w="3227" w:type="dxa"/>
            <w:vMerge w:val="restart"/>
            <w:shd w:val="clear" w:color="auto" w:fill="FFFFFF" w:themeFill="background1"/>
            <w:noWrap/>
            <w:hideMark/>
          </w:tcPr>
          <w:p w14:paraId="5CD3880D" w14:textId="77777777" w:rsidR="00FE7A56" w:rsidRDefault="00FE7A56" w:rsidP="00E64253">
            <w:pPr>
              <w:rPr>
                <w:b/>
                <w:sz w:val="18"/>
                <w:szCs w:val="18"/>
                <w:lang w:val="en-GB"/>
              </w:rPr>
            </w:pPr>
            <w:r>
              <w:rPr>
                <w:b/>
                <w:sz w:val="18"/>
                <w:szCs w:val="18"/>
                <w:lang w:val="en-GB"/>
              </w:rPr>
              <w:t>Inhibin B</w:t>
            </w:r>
            <w:r w:rsidR="003557E0">
              <w:rPr>
                <w:b/>
                <w:sz w:val="18"/>
                <w:szCs w:val="18"/>
                <w:lang w:val="en-GB"/>
              </w:rPr>
              <w:t xml:space="preserve"> (ng/L)</w:t>
            </w:r>
          </w:p>
          <w:p w14:paraId="55A2A0B9" w14:textId="2D49B7E0" w:rsidR="00F71B09" w:rsidRPr="00F71B09" w:rsidRDefault="00F71B09" w:rsidP="0067252C">
            <w:pPr>
              <w:rPr>
                <w:sz w:val="18"/>
                <w:szCs w:val="18"/>
                <w:lang w:val="en-GB"/>
              </w:rPr>
            </w:pPr>
            <w:r>
              <w:rPr>
                <w:sz w:val="18"/>
                <w:szCs w:val="18"/>
                <w:lang w:val="en-GB"/>
              </w:rPr>
              <w:t>Enzyme Immunoassay</w:t>
            </w:r>
            <w:r w:rsidR="0067252C">
              <w:rPr>
                <w:sz w:val="18"/>
                <w:szCs w:val="18"/>
                <w:lang w:val="en-GB"/>
              </w:rPr>
              <w:t xml:space="preserve"> (Wallac Victor 2, Perkin Elmer)</w:t>
            </w:r>
          </w:p>
        </w:tc>
        <w:tc>
          <w:tcPr>
            <w:tcW w:w="1044" w:type="dxa"/>
            <w:noWrap/>
            <w:vAlign w:val="bottom"/>
            <w:hideMark/>
          </w:tcPr>
          <w:p w14:paraId="5AFCAE40" w14:textId="29A5B1E8" w:rsidR="00FE7A56" w:rsidRDefault="00CC7138" w:rsidP="00CC7138">
            <w:pPr>
              <w:jc w:val="right"/>
              <w:rPr>
                <w:rFonts w:ascii="Calibri" w:hAnsi="Calibri"/>
                <w:color w:val="000000"/>
              </w:rPr>
            </w:pPr>
            <w:r>
              <w:rPr>
                <w:rFonts w:ascii="Calibri" w:hAnsi="Calibri"/>
                <w:color w:val="000000"/>
              </w:rPr>
              <w:t>205,3</w:t>
            </w:r>
          </w:p>
        </w:tc>
        <w:tc>
          <w:tcPr>
            <w:tcW w:w="1045" w:type="dxa"/>
            <w:noWrap/>
            <w:vAlign w:val="bottom"/>
            <w:hideMark/>
          </w:tcPr>
          <w:p w14:paraId="2AB5AD4F" w14:textId="5E0DCDB3" w:rsidR="00FE7A56" w:rsidRDefault="00FE7A56" w:rsidP="00CC7138">
            <w:pPr>
              <w:jc w:val="right"/>
              <w:rPr>
                <w:rFonts w:ascii="Calibri" w:hAnsi="Calibri"/>
                <w:color w:val="000000"/>
              </w:rPr>
            </w:pPr>
            <w:r>
              <w:rPr>
                <w:rFonts w:ascii="Calibri" w:hAnsi="Calibri"/>
                <w:color w:val="000000"/>
              </w:rPr>
              <w:t>197,0</w:t>
            </w:r>
          </w:p>
        </w:tc>
        <w:tc>
          <w:tcPr>
            <w:tcW w:w="1045" w:type="dxa"/>
            <w:noWrap/>
            <w:vAlign w:val="bottom"/>
            <w:hideMark/>
          </w:tcPr>
          <w:p w14:paraId="16C6844C" w14:textId="77777777" w:rsidR="00FE7A56" w:rsidRPr="00C851D8" w:rsidRDefault="00FE7A56" w:rsidP="00E64253">
            <w:pPr>
              <w:jc w:val="right"/>
              <w:rPr>
                <w:rFonts w:ascii="Calibri" w:hAnsi="Calibri"/>
                <w:b/>
                <w:sz w:val="18"/>
                <w:szCs w:val="18"/>
              </w:rPr>
            </w:pPr>
            <w:r>
              <w:rPr>
                <w:rFonts w:ascii="Calibri" w:hAnsi="Calibri"/>
                <w:b/>
                <w:sz w:val="18"/>
                <w:szCs w:val="18"/>
              </w:rPr>
              <w:t>0,173</w:t>
            </w:r>
          </w:p>
        </w:tc>
        <w:tc>
          <w:tcPr>
            <w:tcW w:w="1044" w:type="dxa"/>
            <w:noWrap/>
            <w:vAlign w:val="bottom"/>
            <w:hideMark/>
          </w:tcPr>
          <w:p w14:paraId="58CE0DDB" w14:textId="11C644AF" w:rsidR="00FE7A56" w:rsidRPr="00C0471C" w:rsidRDefault="00FE7A56" w:rsidP="00CC7138">
            <w:pPr>
              <w:jc w:val="right"/>
              <w:rPr>
                <w:rFonts w:ascii="Calibri" w:hAnsi="Calibri"/>
                <w:color w:val="000000"/>
              </w:rPr>
            </w:pPr>
            <w:r>
              <w:rPr>
                <w:rFonts w:ascii="Calibri" w:hAnsi="Calibri"/>
                <w:color w:val="000000"/>
              </w:rPr>
              <w:t>112,0</w:t>
            </w:r>
          </w:p>
        </w:tc>
        <w:tc>
          <w:tcPr>
            <w:tcW w:w="1045" w:type="dxa"/>
            <w:noWrap/>
            <w:vAlign w:val="bottom"/>
            <w:hideMark/>
          </w:tcPr>
          <w:p w14:paraId="73F677E0" w14:textId="77777777" w:rsidR="00FE7A56" w:rsidRPr="00C851D8" w:rsidRDefault="00FE7A56" w:rsidP="00E64253">
            <w:pPr>
              <w:jc w:val="right"/>
              <w:rPr>
                <w:rFonts w:ascii="Calibri" w:hAnsi="Calibri"/>
                <w:b/>
                <w:sz w:val="18"/>
                <w:szCs w:val="18"/>
              </w:rPr>
            </w:pPr>
            <w:r>
              <w:rPr>
                <w:rFonts w:ascii="Calibri" w:hAnsi="Calibri"/>
                <w:b/>
                <w:sz w:val="18"/>
                <w:szCs w:val="18"/>
              </w:rPr>
              <w:t>0,028</w:t>
            </w:r>
          </w:p>
        </w:tc>
        <w:tc>
          <w:tcPr>
            <w:tcW w:w="1045" w:type="dxa"/>
            <w:noWrap/>
            <w:vAlign w:val="bottom"/>
            <w:hideMark/>
          </w:tcPr>
          <w:p w14:paraId="5161CD1A" w14:textId="4E6311CD" w:rsidR="00FE7A56" w:rsidRDefault="00CC7138" w:rsidP="0087388F">
            <w:pPr>
              <w:jc w:val="right"/>
              <w:rPr>
                <w:rFonts w:ascii="Calibri" w:hAnsi="Calibri"/>
                <w:color w:val="000000"/>
              </w:rPr>
            </w:pPr>
            <w:r>
              <w:rPr>
                <w:rFonts w:ascii="Calibri" w:hAnsi="Calibri"/>
                <w:color w:val="000000"/>
              </w:rPr>
              <w:t>152,8</w:t>
            </w:r>
          </w:p>
        </w:tc>
        <w:tc>
          <w:tcPr>
            <w:tcW w:w="1044" w:type="dxa"/>
            <w:noWrap/>
            <w:vAlign w:val="bottom"/>
            <w:hideMark/>
          </w:tcPr>
          <w:p w14:paraId="30063AAF" w14:textId="77777777" w:rsidR="00FE7A56" w:rsidRDefault="00FE7A56" w:rsidP="00E64253">
            <w:pPr>
              <w:jc w:val="right"/>
              <w:rPr>
                <w:rFonts w:ascii="Calibri" w:hAnsi="Calibri"/>
                <w:color w:val="000000"/>
              </w:rPr>
            </w:pPr>
            <w:r>
              <w:rPr>
                <w:rFonts w:ascii="Calibri" w:hAnsi="Calibri"/>
                <w:color w:val="000000"/>
              </w:rPr>
              <w:t>201,1</w:t>
            </w:r>
          </w:p>
        </w:tc>
        <w:tc>
          <w:tcPr>
            <w:tcW w:w="1045" w:type="dxa"/>
            <w:noWrap/>
            <w:vAlign w:val="bottom"/>
            <w:hideMark/>
          </w:tcPr>
          <w:p w14:paraId="7A06160D" w14:textId="77777777" w:rsidR="00FE7A56" w:rsidRPr="00C851D8" w:rsidRDefault="00FE7A56" w:rsidP="00E64253">
            <w:pPr>
              <w:jc w:val="right"/>
              <w:rPr>
                <w:rFonts w:ascii="Calibri" w:hAnsi="Calibri"/>
                <w:b/>
                <w:sz w:val="18"/>
                <w:szCs w:val="18"/>
              </w:rPr>
            </w:pPr>
            <w:r>
              <w:rPr>
                <w:rFonts w:ascii="Calibri" w:hAnsi="Calibri"/>
                <w:b/>
                <w:sz w:val="18"/>
                <w:szCs w:val="18"/>
              </w:rPr>
              <w:t>0,096</w:t>
            </w:r>
          </w:p>
        </w:tc>
        <w:tc>
          <w:tcPr>
            <w:tcW w:w="1045" w:type="dxa"/>
            <w:noWrap/>
            <w:vAlign w:val="bottom"/>
            <w:hideMark/>
          </w:tcPr>
          <w:p w14:paraId="5688DFB1" w14:textId="64989427" w:rsidR="00FE7A56" w:rsidRPr="000631A1" w:rsidRDefault="00FE7A56" w:rsidP="00E64253">
            <w:pPr>
              <w:jc w:val="right"/>
              <w:rPr>
                <w:rFonts w:ascii="Calibri" w:hAnsi="Calibri"/>
                <w:color w:val="000000"/>
                <w:vertAlign w:val="superscript"/>
              </w:rPr>
            </w:pPr>
            <w:r>
              <w:rPr>
                <w:rFonts w:ascii="Calibri" w:hAnsi="Calibri"/>
                <w:color w:val="000000"/>
              </w:rPr>
              <w:t>117,4</w:t>
            </w:r>
            <w:r w:rsidR="000631A1">
              <w:rPr>
                <w:rFonts w:ascii="Calibri" w:hAnsi="Calibri"/>
                <w:color w:val="000000"/>
                <w:vertAlign w:val="superscript"/>
              </w:rPr>
              <w:t>a</w:t>
            </w:r>
          </w:p>
        </w:tc>
        <w:tc>
          <w:tcPr>
            <w:tcW w:w="1229" w:type="dxa"/>
            <w:noWrap/>
            <w:vAlign w:val="bottom"/>
            <w:hideMark/>
          </w:tcPr>
          <w:p w14:paraId="5BFA6397" w14:textId="77777777" w:rsidR="00FE7A56" w:rsidRPr="00C851D8" w:rsidRDefault="00FE7A56" w:rsidP="00E64253">
            <w:pPr>
              <w:jc w:val="right"/>
              <w:rPr>
                <w:rFonts w:ascii="Calibri" w:hAnsi="Calibri"/>
                <w:b/>
                <w:sz w:val="18"/>
                <w:szCs w:val="18"/>
              </w:rPr>
            </w:pPr>
            <w:r>
              <w:rPr>
                <w:rFonts w:ascii="Calibri" w:hAnsi="Calibri"/>
                <w:b/>
                <w:sz w:val="18"/>
                <w:szCs w:val="18"/>
              </w:rPr>
              <w:t>0,242</w:t>
            </w:r>
          </w:p>
        </w:tc>
      </w:tr>
      <w:tr w:rsidR="00FE7A56" w:rsidRPr="002A729A" w14:paraId="73E7C74D" w14:textId="77777777" w:rsidTr="00E64253">
        <w:trPr>
          <w:trHeight w:val="300"/>
        </w:trPr>
        <w:tc>
          <w:tcPr>
            <w:tcW w:w="3227" w:type="dxa"/>
            <w:vMerge/>
            <w:shd w:val="clear" w:color="auto" w:fill="FFFFFF" w:themeFill="background1"/>
            <w:noWrap/>
            <w:hideMark/>
          </w:tcPr>
          <w:p w14:paraId="2A20737C" w14:textId="77777777" w:rsidR="00FE7A56" w:rsidRPr="00C851D8" w:rsidRDefault="00FE7A56" w:rsidP="00E64253">
            <w:pPr>
              <w:rPr>
                <w:b/>
                <w:sz w:val="18"/>
                <w:szCs w:val="18"/>
              </w:rPr>
            </w:pPr>
          </w:p>
        </w:tc>
        <w:tc>
          <w:tcPr>
            <w:tcW w:w="10631" w:type="dxa"/>
            <w:gridSpan w:val="10"/>
            <w:noWrap/>
            <w:vAlign w:val="bottom"/>
            <w:hideMark/>
          </w:tcPr>
          <w:p w14:paraId="39FB2C85" w14:textId="77777777" w:rsidR="00FE7A56" w:rsidRPr="00C851D8" w:rsidRDefault="00FE7A56" w:rsidP="00E64253">
            <w:pPr>
              <w:jc w:val="center"/>
              <w:rPr>
                <w:rFonts w:ascii="Calibri" w:hAnsi="Calibri"/>
                <w:b/>
                <w:sz w:val="18"/>
                <w:szCs w:val="18"/>
                <w:lang w:val="en-GB"/>
              </w:rPr>
            </w:pPr>
            <w:r>
              <w:rPr>
                <w:rFonts w:ascii="Calibri" w:hAnsi="Calibri"/>
                <w:b/>
                <w:sz w:val="18"/>
                <w:szCs w:val="18"/>
                <w:lang w:val="en-GB"/>
              </w:rPr>
              <w:t>Reference (ng/L): M: 67-323 (Tanner IV-V), F: &lt;15-205 (Tanner IV-V)</w:t>
            </w:r>
          </w:p>
        </w:tc>
      </w:tr>
      <w:tr w:rsidR="008E6FF3" w:rsidRPr="00C851D8" w14:paraId="5ECC34CB" w14:textId="77777777" w:rsidTr="00E64253">
        <w:trPr>
          <w:trHeight w:val="300"/>
        </w:trPr>
        <w:tc>
          <w:tcPr>
            <w:tcW w:w="3227" w:type="dxa"/>
            <w:vMerge w:val="restart"/>
            <w:shd w:val="clear" w:color="auto" w:fill="FFFFFF" w:themeFill="background1"/>
            <w:noWrap/>
            <w:hideMark/>
          </w:tcPr>
          <w:p w14:paraId="1DD5BEC6" w14:textId="7DF0F912" w:rsidR="008E6FF3" w:rsidRDefault="008E6FF3" w:rsidP="008E6FF3">
            <w:pPr>
              <w:rPr>
                <w:b/>
                <w:sz w:val="18"/>
                <w:szCs w:val="18"/>
                <w:lang w:val="en-GB"/>
              </w:rPr>
            </w:pPr>
            <w:r>
              <w:rPr>
                <w:b/>
                <w:sz w:val="18"/>
                <w:szCs w:val="18"/>
                <w:lang w:val="en-GB"/>
              </w:rPr>
              <w:t>Prolactin</w:t>
            </w:r>
            <w:r w:rsidR="003557E0">
              <w:rPr>
                <w:b/>
                <w:sz w:val="18"/>
                <w:szCs w:val="18"/>
                <w:lang w:val="en-GB"/>
              </w:rPr>
              <w:t xml:space="preserve"> (pmol/L)</w:t>
            </w:r>
          </w:p>
          <w:p w14:paraId="2C0477B1" w14:textId="77777777" w:rsidR="008E6FF3" w:rsidRPr="00C851D8" w:rsidRDefault="008E6FF3" w:rsidP="008E6FF3">
            <w:pPr>
              <w:rPr>
                <w:sz w:val="18"/>
                <w:szCs w:val="18"/>
                <w:lang w:val="en-GB"/>
              </w:rPr>
            </w:pPr>
            <w:r>
              <w:rPr>
                <w:sz w:val="16"/>
                <w:szCs w:val="16"/>
                <w:lang w:val="en-GB"/>
              </w:rPr>
              <w:t>S</w:t>
            </w:r>
            <w:r w:rsidRPr="00B95CB0">
              <w:rPr>
                <w:sz w:val="16"/>
                <w:szCs w:val="16"/>
                <w:lang w:val="en-GB"/>
              </w:rPr>
              <w:t>iemens immulite</w:t>
            </w:r>
          </w:p>
        </w:tc>
        <w:tc>
          <w:tcPr>
            <w:tcW w:w="1044" w:type="dxa"/>
            <w:noWrap/>
            <w:vAlign w:val="bottom"/>
            <w:hideMark/>
          </w:tcPr>
          <w:p w14:paraId="427078E6" w14:textId="06598830" w:rsidR="008E6FF3" w:rsidRDefault="008E6FF3" w:rsidP="008E6FF3">
            <w:pPr>
              <w:jc w:val="right"/>
              <w:rPr>
                <w:rFonts w:ascii="Calibri" w:hAnsi="Calibri"/>
                <w:color w:val="000000"/>
              </w:rPr>
            </w:pPr>
            <w:r>
              <w:rPr>
                <w:rFonts w:ascii="Calibri" w:hAnsi="Calibri"/>
                <w:color w:val="000000"/>
              </w:rPr>
              <w:t>334,0</w:t>
            </w:r>
          </w:p>
        </w:tc>
        <w:tc>
          <w:tcPr>
            <w:tcW w:w="1045" w:type="dxa"/>
            <w:noWrap/>
            <w:vAlign w:val="bottom"/>
            <w:hideMark/>
          </w:tcPr>
          <w:p w14:paraId="6FDAE0D9" w14:textId="73CA351B" w:rsidR="008E6FF3" w:rsidRDefault="008E6FF3" w:rsidP="008E6FF3">
            <w:pPr>
              <w:jc w:val="right"/>
              <w:rPr>
                <w:rFonts w:ascii="Calibri" w:hAnsi="Calibri"/>
                <w:color w:val="000000"/>
              </w:rPr>
            </w:pPr>
            <w:r>
              <w:rPr>
                <w:rFonts w:ascii="Calibri" w:hAnsi="Calibri"/>
                <w:color w:val="000000"/>
              </w:rPr>
              <w:t>777,2</w:t>
            </w:r>
          </w:p>
        </w:tc>
        <w:tc>
          <w:tcPr>
            <w:tcW w:w="1045" w:type="dxa"/>
            <w:noWrap/>
            <w:vAlign w:val="bottom"/>
            <w:hideMark/>
          </w:tcPr>
          <w:p w14:paraId="3AF0E81B" w14:textId="3624BB40" w:rsidR="008E6FF3" w:rsidRPr="00255FAB" w:rsidRDefault="008E6FF3" w:rsidP="008E6FF3">
            <w:pPr>
              <w:jc w:val="right"/>
              <w:rPr>
                <w:rFonts w:ascii="Calibri" w:hAnsi="Calibri"/>
                <w:b/>
                <w:sz w:val="18"/>
                <w:szCs w:val="18"/>
              </w:rPr>
            </w:pPr>
            <w:r w:rsidRPr="008E6FF3">
              <w:rPr>
                <w:rFonts w:ascii="Calibri" w:hAnsi="Calibri"/>
                <w:b/>
                <w:sz w:val="18"/>
                <w:szCs w:val="18"/>
              </w:rPr>
              <w:t>&lt;0,001</w:t>
            </w:r>
          </w:p>
        </w:tc>
        <w:tc>
          <w:tcPr>
            <w:tcW w:w="1044" w:type="dxa"/>
            <w:noWrap/>
            <w:vAlign w:val="bottom"/>
            <w:hideMark/>
          </w:tcPr>
          <w:p w14:paraId="470536A4" w14:textId="6D02C29A" w:rsidR="008E6FF3" w:rsidRPr="00C0471C" w:rsidRDefault="008E6FF3" w:rsidP="008E6FF3">
            <w:pPr>
              <w:jc w:val="right"/>
              <w:rPr>
                <w:rFonts w:ascii="Calibri" w:hAnsi="Calibri"/>
                <w:color w:val="000000"/>
              </w:rPr>
            </w:pPr>
            <w:r>
              <w:rPr>
                <w:rFonts w:ascii="Calibri" w:hAnsi="Calibri"/>
                <w:color w:val="000000"/>
              </w:rPr>
              <w:t>838,5</w:t>
            </w:r>
          </w:p>
        </w:tc>
        <w:tc>
          <w:tcPr>
            <w:tcW w:w="1045" w:type="dxa"/>
            <w:noWrap/>
            <w:vAlign w:val="bottom"/>
            <w:hideMark/>
          </w:tcPr>
          <w:p w14:paraId="2E0DFB75" w14:textId="2F6D8648" w:rsidR="008E6FF3" w:rsidRPr="00255FAB" w:rsidRDefault="008E6FF3" w:rsidP="008E6FF3">
            <w:pPr>
              <w:jc w:val="right"/>
              <w:rPr>
                <w:rFonts w:ascii="Calibri" w:hAnsi="Calibri"/>
                <w:b/>
                <w:sz w:val="18"/>
                <w:szCs w:val="18"/>
              </w:rPr>
            </w:pPr>
            <w:r w:rsidRPr="008E6FF3">
              <w:rPr>
                <w:rFonts w:ascii="Calibri" w:hAnsi="Calibri"/>
                <w:b/>
                <w:sz w:val="18"/>
                <w:szCs w:val="18"/>
              </w:rPr>
              <w:t>0,012</w:t>
            </w:r>
          </w:p>
        </w:tc>
        <w:tc>
          <w:tcPr>
            <w:tcW w:w="1045" w:type="dxa"/>
            <w:noWrap/>
            <w:vAlign w:val="bottom"/>
            <w:hideMark/>
          </w:tcPr>
          <w:p w14:paraId="69749516" w14:textId="05BCAE46" w:rsidR="008E6FF3" w:rsidRDefault="008E6FF3" w:rsidP="008E6FF3">
            <w:pPr>
              <w:jc w:val="right"/>
              <w:rPr>
                <w:rFonts w:ascii="Calibri" w:hAnsi="Calibri"/>
                <w:color w:val="000000"/>
              </w:rPr>
            </w:pPr>
            <w:r>
              <w:rPr>
                <w:rFonts w:ascii="Calibri" w:hAnsi="Calibri"/>
                <w:color w:val="000000"/>
              </w:rPr>
              <w:t>726,0</w:t>
            </w:r>
          </w:p>
        </w:tc>
        <w:tc>
          <w:tcPr>
            <w:tcW w:w="1044" w:type="dxa"/>
            <w:noWrap/>
            <w:vAlign w:val="bottom"/>
            <w:hideMark/>
          </w:tcPr>
          <w:p w14:paraId="3888682D" w14:textId="01BB9673" w:rsidR="008E6FF3" w:rsidRDefault="008E6FF3" w:rsidP="008E6FF3">
            <w:pPr>
              <w:jc w:val="right"/>
              <w:rPr>
                <w:rFonts w:ascii="Calibri" w:hAnsi="Calibri"/>
                <w:color w:val="000000"/>
              </w:rPr>
            </w:pPr>
            <w:r>
              <w:rPr>
                <w:rFonts w:ascii="Calibri" w:hAnsi="Calibri"/>
                <w:color w:val="000000"/>
              </w:rPr>
              <w:t>634,0</w:t>
            </w:r>
          </w:p>
        </w:tc>
        <w:tc>
          <w:tcPr>
            <w:tcW w:w="1045" w:type="dxa"/>
            <w:noWrap/>
            <w:vAlign w:val="bottom"/>
            <w:hideMark/>
          </w:tcPr>
          <w:p w14:paraId="64115180" w14:textId="2C79B124" w:rsidR="008E6FF3" w:rsidRPr="00255FAB" w:rsidRDefault="008E6FF3" w:rsidP="008E6FF3">
            <w:pPr>
              <w:jc w:val="right"/>
              <w:rPr>
                <w:rFonts w:ascii="Calibri" w:hAnsi="Calibri"/>
                <w:b/>
                <w:sz w:val="18"/>
                <w:szCs w:val="18"/>
              </w:rPr>
            </w:pPr>
            <w:r w:rsidRPr="008E6FF3">
              <w:rPr>
                <w:rFonts w:ascii="Calibri" w:hAnsi="Calibri"/>
                <w:b/>
                <w:sz w:val="18"/>
                <w:szCs w:val="18"/>
              </w:rPr>
              <w:t>0,917</w:t>
            </w:r>
          </w:p>
        </w:tc>
        <w:tc>
          <w:tcPr>
            <w:tcW w:w="1045" w:type="dxa"/>
            <w:noWrap/>
            <w:vAlign w:val="bottom"/>
            <w:hideMark/>
          </w:tcPr>
          <w:p w14:paraId="07707C76" w14:textId="748EB275" w:rsidR="008E6FF3" w:rsidRPr="00C0471C" w:rsidRDefault="008E6FF3" w:rsidP="008E6FF3">
            <w:pPr>
              <w:jc w:val="right"/>
              <w:rPr>
                <w:rFonts w:ascii="Calibri" w:hAnsi="Calibri"/>
                <w:color w:val="000000"/>
              </w:rPr>
            </w:pPr>
            <w:r>
              <w:rPr>
                <w:rFonts w:ascii="Calibri" w:hAnsi="Calibri"/>
                <w:color w:val="000000"/>
              </w:rPr>
              <w:t>458,7</w:t>
            </w:r>
          </w:p>
        </w:tc>
        <w:tc>
          <w:tcPr>
            <w:tcW w:w="1229" w:type="dxa"/>
            <w:noWrap/>
            <w:vAlign w:val="bottom"/>
            <w:hideMark/>
          </w:tcPr>
          <w:p w14:paraId="01636FFF" w14:textId="2A2ACCC2" w:rsidR="008E6FF3" w:rsidRPr="00255FAB" w:rsidRDefault="008E6FF3" w:rsidP="008E6FF3">
            <w:pPr>
              <w:jc w:val="right"/>
              <w:rPr>
                <w:rFonts w:ascii="Calibri" w:hAnsi="Calibri"/>
                <w:b/>
                <w:sz w:val="18"/>
                <w:szCs w:val="18"/>
              </w:rPr>
            </w:pPr>
            <w:r w:rsidRPr="008E6FF3">
              <w:rPr>
                <w:rFonts w:ascii="Calibri" w:hAnsi="Calibri"/>
                <w:b/>
                <w:sz w:val="18"/>
                <w:szCs w:val="18"/>
              </w:rPr>
              <w:t>0,043</w:t>
            </w:r>
          </w:p>
        </w:tc>
      </w:tr>
      <w:tr w:rsidR="00FE7A56" w:rsidRPr="002A729A" w14:paraId="0E711AE0" w14:textId="77777777" w:rsidTr="00E64253">
        <w:trPr>
          <w:trHeight w:val="300"/>
        </w:trPr>
        <w:tc>
          <w:tcPr>
            <w:tcW w:w="3227" w:type="dxa"/>
            <w:vMerge/>
            <w:shd w:val="clear" w:color="auto" w:fill="FFFFFF" w:themeFill="background1"/>
            <w:noWrap/>
            <w:hideMark/>
          </w:tcPr>
          <w:p w14:paraId="5B124190" w14:textId="77777777" w:rsidR="00FE7A56" w:rsidRPr="00C851D8" w:rsidRDefault="00FE7A56" w:rsidP="00E64253">
            <w:pPr>
              <w:rPr>
                <w:b/>
                <w:sz w:val="18"/>
                <w:szCs w:val="18"/>
                <w:lang w:val="en-GB"/>
              </w:rPr>
            </w:pPr>
          </w:p>
        </w:tc>
        <w:tc>
          <w:tcPr>
            <w:tcW w:w="10631" w:type="dxa"/>
            <w:gridSpan w:val="10"/>
            <w:noWrap/>
            <w:vAlign w:val="bottom"/>
            <w:hideMark/>
          </w:tcPr>
          <w:p w14:paraId="666A133E" w14:textId="65DA351F" w:rsidR="00FE7A56" w:rsidRPr="00C851D8" w:rsidRDefault="00FE7A56" w:rsidP="002E1A6C">
            <w:pPr>
              <w:jc w:val="center"/>
              <w:rPr>
                <w:rFonts w:ascii="Calibri" w:hAnsi="Calibri"/>
                <w:b/>
                <w:sz w:val="18"/>
                <w:szCs w:val="18"/>
                <w:lang w:val="en-GB"/>
              </w:rPr>
            </w:pPr>
            <w:r>
              <w:rPr>
                <w:rFonts w:ascii="Calibri" w:hAnsi="Calibri"/>
                <w:b/>
                <w:sz w:val="18"/>
                <w:szCs w:val="18"/>
                <w:lang w:val="en-GB"/>
              </w:rPr>
              <w:t>Reference (</w:t>
            </w:r>
            <w:r w:rsidR="008E6FF3">
              <w:rPr>
                <w:rFonts w:ascii="Calibri" w:hAnsi="Calibri"/>
                <w:b/>
                <w:sz w:val="18"/>
                <w:szCs w:val="18"/>
                <w:lang w:val="en-GB"/>
              </w:rPr>
              <w:t>pmol</w:t>
            </w:r>
            <w:r>
              <w:rPr>
                <w:rFonts w:ascii="Calibri" w:hAnsi="Calibri"/>
                <w:b/>
                <w:sz w:val="18"/>
                <w:szCs w:val="18"/>
                <w:lang w:val="en-GB"/>
              </w:rPr>
              <w:t xml:space="preserve">/L): M: </w:t>
            </w:r>
            <w:r w:rsidR="002E1A6C">
              <w:rPr>
                <w:rFonts w:ascii="Calibri" w:hAnsi="Calibri"/>
                <w:b/>
                <w:sz w:val="18"/>
                <w:szCs w:val="18"/>
                <w:lang w:val="en-GB"/>
              </w:rPr>
              <w:t>173,9-739,1</w:t>
            </w:r>
            <w:r>
              <w:rPr>
                <w:rFonts w:ascii="Calibri" w:hAnsi="Calibri"/>
                <w:b/>
                <w:sz w:val="18"/>
                <w:szCs w:val="18"/>
                <w:lang w:val="en-GB"/>
              </w:rPr>
              <w:t>, F:</w:t>
            </w:r>
            <w:r w:rsidR="002E1A6C">
              <w:rPr>
                <w:rFonts w:ascii="Calibri" w:hAnsi="Calibri"/>
                <w:b/>
                <w:sz w:val="18"/>
                <w:szCs w:val="18"/>
                <w:lang w:val="en-GB"/>
              </w:rPr>
              <w:t xml:space="preserve"> 260,9-695,6</w:t>
            </w:r>
          </w:p>
        </w:tc>
      </w:tr>
      <w:tr w:rsidR="001E6786" w:rsidRPr="00255FAB" w14:paraId="67CDA2CC" w14:textId="77777777" w:rsidTr="00E64253">
        <w:trPr>
          <w:trHeight w:val="300"/>
        </w:trPr>
        <w:tc>
          <w:tcPr>
            <w:tcW w:w="3227" w:type="dxa"/>
            <w:vMerge w:val="restart"/>
            <w:shd w:val="clear" w:color="auto" w:fill="FFFFFF" w:themeFill="background1"/>
            <w:noWrap/>
            <w:hideMark/>
          </w:tcPr>
          <w:p w14:paraId="2420C5B0" w14:textId="02995CC7" w:rsidR="001E6786" w:rsidRDefault="001E6786" w:rsidP="001E6786">
            <w:pPr>
              <w:rPr>
                <w:b/>
                <w:sz w:val="18"/>
                <w:szCs w:val="18"/>
                <w:lang w:val="en-GB"/>
              </w:rPr>
            </w:pPr>
            <w:r>
              <w:rPr>
                <w:b/>
                <w:sz w:val="18"/>
                <w:szCs w:val="18"/>
                <w:lang w:val="en-GB"/>
              </w:rPr>
              <w:t>DHEAS</w:t>
            </w:r>
            <w:r w:rsidR="003557E0">
              <w:rPr>
                <w:b/>
                <w:sz w:val="18"/>
                <w:szCs w:val="18"/>
                <w:lang w:val="en-GB"/>
              </w:rPr>
              <w:t xml:space="preserve"> (µmol/L)</w:t>
            </w:r>
          </w:p>
          <w:p w14:paraId="184CC143" w14:textId="77777777" w:rsidR="001E6786" w:rsidRPr="00C851D8" w:rsidRDefault="001E6786" w:rsidP="001E6786">
            <w:pPr>
              <w:rPr>
                <w:sz w:val="18"/>
                <w:szCs w:val="18"/>
                <w:lang w:val="en-GB"/>
              </w:rPr>
            </w:pPr>
            <w:r w:rsidRPr="00C851D8">
              <w:rPr>
                <w:sz w:val="16"/>
                <w:szCs w:val="16"/>
                <w:lang w:val="en-GB"/>
              </w:rPr>
              <w:t>Electro-chemoluminescence assay (Roche Diagnostics E170 Modular)</w:t>
            </w:r>
          </w:p>
        </w:tc>
        <w:tc>
          <w:tcPr>
            <w:tcW w:w="1044" w:type="dxa"/>
            <w:noWrap/>
            <w:vAlign w:val="bottom"/>
            <w:hideMark/>
          </w:tcPr>
          <w:p w14:paraId="539EF663" w14:textId="14C0000F" w:rsidR="001E6786" w:rsidRDefault="001E6786" w:rsidP="001E6786">
            <w:pPr>
              <w:jc w:val="right"/>
              <w:rPr>
                <w:rFonts w:ascii="Calibri" w:hAnsi="Calibri"/>
                <w:color w:val="000000"/>
              </w:rPr>
            </w:pPr>
            <w:r>
              <w:rPr>
                <w:rFonts w:ascii="Calibri" w:hAnsi="Calibri"/>
                <w:color w:val="000000"/>
              </w:rPr>
              <w:t>0,803</w:t>
            </w:r>
          </w:p>
        </w:tc>
        <w:tc>
          <w:tcPr>
            <w:tcW w:w="1045" w:type="dxa"/>
            <w:noWrap/>
            <w:vAlign w:val="bottom"/>
            <w:hideMark/>
          </w:tcPr>
          <w:p w14:paraId="145F2602" w14:textId="35131FB3" w:rsidR="001E6786" w:rsidRDefault="001E6786" w:rsidP="001E6786">
            <w:pPr>
              <w:jc w:val="right"/>
              <w:rPr>
                <w:rFonts w:ascii="Calibri" w:hAnsi="Calibri"/>
                <w:color w:val="000000"/>
              </w:rPr>
            </w:pPr>
            <w:r>
              <w:rPr>
                <w:rFonts w:ascii="Calibri" w:hAnsi="Calibri"/>
                <w:color w:val="000000"/>
              </w:rPr>
              <w:t>0,791</w:t>
            </w:r>
          </w:p>
        </w:tc>
        <w:tc>
          <w:tcPr>
            <w:tcW w:w="1045" w:type="dxa"/>
            <w:noWrap/>
            <w:vAlign w:val="bottom"/>
            <w:hideMark/>
          </w:tcPr>
          <w:p w14:paraId="2141DFBD" w14:textId="4345D484" w:rsidR="001E6786" w:rsidRPr="00255FAB" w:rsidRDefault="001E6786" w:rsidP="001E6786">
            <w:pPr>
              <w:jc w:val="right"/>
              <w:rPr>
                <w:rFonts w:ascii="Calibri" w:hAnsi="Calibri"/>
                <w:b/>
                <w:sz w:val="18"/>
                <w:szCs w:val="18"/>
              </w:rPr>
            </w:pPr>
            <w:r w:rsidRPr="001E6786">
              <w:rPr>
                <w:rFonts w:ascii="Calibri" w:hAnsi="Calibri"/>
                <w:b/>
                <w:sz w:val="18"/>
                <w:szCs w:val="18"/>
              </w:rPr>
              <w:t>0,954</w:t>
            </w:r>
          </w:p>
        </w:tc>
        <w:tc>
          <w:tcPr>
            <w:tcW w:w="1044" w:type="dxa"/>
            <w:noWrap/>
            <w:vAlign w:val="bottom"/>
            <w:hideMark/>
          </w:tcPr>
          <w:p w14:paraId="7731144C" w14:textId="587FB736" w:rsidR="001E6786" w:rsidRPr="002A43A3" w:rsidRDefault="001E6786" w:rsidP="001E6786">
            <w:pPr>
              <w:jc w:val="right"/>
              <w:rPr>
                <w:rFonts w:ascii="Calibri" w:hAnsi="Calibri"/>
                <w:color w:val="000000"/>
              </w:rPr>
            </w:pPr>
            <w:r>
              <w:rPr>
                <w:rFonts w:ascii="Calibri" w:hAnsi="Calibri"/>
                <w:color w:val="000000"/>
              </w:rPr>
              <w:t>0,653</w:t>
            </w:r>
          </w:p>
        </w:tc>
        <w:tc>
          <w:tcPr>
            <w:tcW w:w="1045" w:type="dxa"/>
            <w:noWrap/>
            <w:vAlign w:val="bottom"/>
            <w:hideMark/>
          </w:tcPr>
          <w:p w14:paraId="30E4A21E" w14:textId="5E90C2C6" w:rsidR="001E6786" w:rsidRPr="00255FAB" w:rsidRDefault="001E6786" w:rsidP="001E6786">
            <w:pPr>
              <w:jc w:val="right"/>
              <w:rPr>
                <w:rFonts w:ascii="Calibri" w:hAnsi="Calibri"/>
                <w:b/>
                <w:sz w:val="18"/>
                <w:szCs w:val="18"/>
              </w:rPr>
            </w:pPr>
            <w:r w:rsidRPr="001E6786">
              <w:rPr>
                <w:rFonts w:ascii="Calibri" w:hAnsi="Calibri"/>
                <w:b/>
                <w:sz w:val="18"/>
                <w:szCs w:val="18"/>
              </w:rPr>
              <w:t>0,002</w:t>
            </w:r>
          </w:p>
        </w:tc>
        <w:tc>
          <w:tcPr>
            <w:tcW w:w="1045" w:type="dxa"/>
            <w:noWrap/>
            <w:vAlign w:val="bottom"/>
            <w:hideMark/>
          </w:tcPr>
          <w:p w14:paraId="4E2C3223" w14:textId="2B44C04D" w:rsidR="001E6786" w:rsidRDefault="001E6786" w:rsidP="001E6786">
            <w:pPr>
              <w:jc w:val="right"/>
              <w:rPr>
                <w:rFonts w:ascii="Calibri" w:hAnsi="Calibri"/>
                <w:color w:val="000000"/>
              </w:rPr>
            </w:pPr>
            <w:r>
              <w:rPr>
                <w:rFonts w:ascii="Calibri" w:hAnsi="Calibri"/>
                <w:color w:val="000000"/>
              </w:rPr>
              <w:t>0,709</w:t>
            </w:r>
          </w:p>
        </w:tc>
        <w:tc>
          <w:tcPr>
            <w:tcW w:w="1044" w:type="dxa"/>
            <w:noWrap/>
            <w:vAlign w:val="bottom"/>
            <w:hideMark/>
          </w:tcPr>
          <w:p w14:paraId="108C4F5F" w14:textId="0BB13D08" w:rsidR="001E6786" w:rsidRDefault="001E6786" w:rsidP="001E6786">
            <w:pPr>
              <w:jc w:val="right"/>
              <w:rPr>
                <w:rFonts w:ascii="Calibri" w:hAnsi="Calibri"/>
                <w:color w:val="000000"/>
              </w:rPr>
            </w:pPr>
            <w:r>
              <w:rPr>
                <w:rFonts w:ascii="Calibri" w:hAnsi="Calibri"/>
                <w:color w:val="000000"/>
              </w:rPr>
              <w:t>0,740</w:t>
            </w:r>
          </w:p>
        </w:tc>
        <w:tc>
          <w:tcPr>
            <w:tcW w:w="1045" w:type="dxa"/>
            <w:noWrap/>
            <w:vAlign w:val="bottom"/>
            <w:hideMark/>
          </w:tcPr>
          <w:p w14:paraId="71CD9D24" w14:textId="0C2D20E1" w:rsidR="001E6786" w:rsidRPr="00255FAB" w:rsidRDefault="001E6786" w:rsidP="001E6786">
            <w:pPr>
              <w:jc w:val="right"/>
              <w:rPr>
                <w:rFonts w:ascii="Calibri" w:hAnsi="Calibri"/>
                <w:b/>
                <w:sz w:val="18"/>
                <w:szCs w:val="18"/>
              </w:rPr>
            </w:pPr>
            <w:r w:rsidRPr="001E6786">
              <w:rPr>
                <w:rFonts w:ascii="Calibri" w:hAnsi="Calibri"/>
                <w:b/>
                <w:sz w:val="18"/>
                <w:szCs w:val="18"/>
              </w:rPr>
              <w:t>0,268</w:t>
            </w:r>
          </w:p>
        </w:tc>
        <w:tc>
          <w:tcPr>
            <w:tcW w:w="1045" w:type="dxa"/>
            <w:noWrap/>
            <w:vAlign w:val="bottom"/>
            <w:hideMark/>
          </w:tcPr>
          <w:p w14:paraId="78125FAB" w14:textId="1E2A16EE" w:rsidR="001E6786" w:rsidRPr="002A43A3" w:rsidRDefault="001E6786" w:rsidP="001E6786">
            <w:pPr>
              <w:jc w:val="right"/>
              <w:rPr>
                <w:rFonts w:ascii="Calibri" w:hAnsi="Calibri"/>
                <w:color w:val="000000"/>
              </w:rPr>
            </w:pPr>
            <w:r>
              <w:rPr>
                <w:rFonts w:ascii="Calibri" w:hAnsi="Calibri"/>
                <w:color w:val="000000"/>
              </w:rPr>
              <w:t>0,659</w:t>
            </w:r>
          </w:p>
        </w:tc>
        <w:tc>
          <w:tcPr>
            <w:tcW w:w="1229" w:type="dxa"/>
            <w:noWrap/>
            <w:vAlign w:val="bottom"/>
            <w:hideMark/>
          </w:tcPr>
          <w:p w14:paraId="73ED0B0B" w14:textId="59D05EB2" w:rsidR="001E6786" w:rsidRPr="00255FAB" w:rsidRDefault="001E6786" w:rsidP="001E6786">
            <w:pPr>
              <w:jc w:val="right"/>
              <w:rPr>
                <w:rFonts w:ascii="Calibri" w:hAnsi="Calibri"/>
                <w:b/>
                <w:sz w:val="18"/>
                <w:szCs w:val="18"/>
              </w:rPr>
            </w:pPr>
            <w:r w:rsidRPr="001E6786">
              <w:rPr>
                <w:rFonts w:ascii="Calibri" w:hAnsi="Calibri"/>
                <w:b/>
                <w:sz w:val="18"/>
                <w:szCs w:val="18"/>
              </w:rPr>
              <w:t>0,322</w:t>
            </w:r>
          </w:p>
        </w:tc>
      </w:tr>
      <w:tr w:rsidR="00FE7A56" w:rsidRPr="002A729A" w14:paraId="1806B100" w14:textId="77777777" w:rsidTr="00E64253">
        <w:trPr>
          <w:trHeight w:val="300"/>
        </w:trPr>
        <w:tc>
          <w:tcPr>
            <w:tcW w:w="3227" w:type="dxa"/>
            <w:vMerge/>
            <w:shd w:val="clear" w:color="auto" w:fill="FFFFFF" w:themeFill="background1"/>
            <w:noWrap/>
            <w:hideMark/>
          </w:tcPr>
          <w:p w14:paraId="56EB6B69" w14:textId="77777777" w:rsidR="00FE7A56" w:rsidRPr="00C851D8" w:rsidRDefault="00FE7A56" w:rsidP="00E64253">
            <w:pPr>
              <w:rPr>
                <w:b/>
                <w:sz w:val="18"/>
                <w:szCs w:val="18"/>
                <w:lang w:val="en-GB"/>
              </w:rPr>
            </w:pPr>
          </w:p>
        </w:tc>
        <w:tc>
          <w:tcPr>
            <w:tcW w:w="10631" w:type="dxa"/>
            <w:gridSpan w:val="10"/>
            <w:noWrap/>
            <w:vAlign w:val="bottom"/>
            <w:hideMark/>
          </w:tcPr>
          <w:p w14:paraId="20848C4A" w14:textId="337FFBDB" w:rsidR="00FE7A56" w:rsidRPr="00C851D8" w:rsidRDefault="00FE7A56" w:rsidP="00274F7A">
            <w:pPr>
              <w:jc w:val="center"/>
              <w:rPr>
                <w:rFonts w:ascii="Calibri" w:hAnsi="Calibri"/>
                <w:b/>
                <w:sz w:val="18"/>
                <w:szCs w:val="18"/>
                <w:lang w:val="en-GB"/>
              </w:rPr>
            </w:pPr>
            <w:r>
              <w:rPr>
                <w:rFonts w:ascii="Calibri" w:hAnsi="Calibri"/>
                <w:b/>
                <w:sz w:val="18"/>
                <w:szCs w:val="18"/>
                <w:lang w:val="en-GB"/>
              </w:rPr>
              <w:t>Reference (µ</w:t>
            </w:r>
            <w:r w:rsidR="001E6786">
              <w:rPr>
                <w:rFonts w:ascii="Calibri" w:hAnsi="Calibri"/>
                <w:b/>
                <w:sz w:val="18"/>
                <w:szCs w:val="18"/>
                <w:lang w:val="en-GB"/>
              </w:rPr>
              <w:t>mol</w:t>
            </w:r>
            <w:r>
              <w:rPr>
                <w:rFonts w:ascii="Calibri" w:hAnsi="Calibri"/>
                <w:b/>
                <w:sz w:val="18"/>
                <w:szCs w:val="18"/>
                <w:lang w:val="en-GB"/>
              </w:rPr>
              <w:t xml:space="preserve">/L): M: </w:t>
            </w:r>
            <w:r w:rsidR="00274F7A">
              <w:rPr>
                <w:rFonts w:ascii="Calibri" w:hAnsi="Calibri"/>
                <w:b/>
                <w:sz w:val="18"/>
                <w:szCs w:val="18"/>
                <w:lang w:val="en-GB"/>
              </w:rPr>
              <w:t>0,183</w:t>
            </w:r>
            <w:r>
              <w:rPr>
                <w:rFonts w:ascii="Calibri" w:hAnsi="Calibri"/>
                <w:b/>
                <w:sz w:val="18"/>
                <w:szCs w:val="18"/>
                <w:lang w:val="en-GB"/>
              </w:rPr>
              <w:t>-</w:t>
            </w:r>
            <w:r w:rsidR="00274F7A">
              <w:rPr>
                <w:rFonts w:ascii="Calibri" w:hAnsi="Calibri"/>
                <w:b/>
                <w:sz w:val="18"/>
                <w:szCs w:val="18"/>
                <w:lang w:val="en-GB"/>
              </w:rPr>
              <w:t>1,279</w:t>
            </w:r>
            <w:r>
              <w:rPr>
                <w:rFonts w:ascii="Calibri" w:hAnsi="Calibri"/>
                <w:b/>
                <w:sz w:val="18"/>
                <w:szCs w:val="18"/>
                <w:lang w:val="en-GB"/>
              </w:rPr>
              <w:t xml:space="preserve">, F: </w:t>
            </w:r>
            <w:r w:rsidR="00274F7A">
              <w:rPr>
                <w:rFonts w:ascii="Calibri" w:hAnsi="Calibri"/>
                <w:b/>
                <w:sz w:val="18"/>
                <w:szCs w:val="18"/>
                <w:lang w:val="en-GB"/>
              </w:rPr>
              <w:t>0,169</w:t>
            </w:r>
            <w:r>
              <w:rPr>
                <w:rFonts w:ascii="Calibri" w:hAnsi="Calibri"/>
                <w:b/>
                <w:sz w:val="18"/>
                <w:szCs w:val="18"/>
                <w:lang w:val="en-GB"/>
              </w:rPr>
              <w:t>-</w:t>
            </w:r>
            <w:r w:rsidR="00274F7A">
              <w:rPr>
                <w:rFonts w:ascii="Calibri" w:hAnsi="Calibri"/>
                <w:b/>
                <w:sz w:val="18"/>
                <w:szCs w:val="18"/>
                <w:lang w:val="en-GB"/>
              </w:rPr>
              <w:t>0,957</w:t>
            </w:r>
          </w:p>
        </w:tc>
      </w:tr>
      <w:tr w:rsidR="001A4AEB" w:rsidRPr="00255FAB" w14:paraId="388D5D01" w14:textId="77777777" w:rsidTr="00E64253">
        <w:trPr>
          <w:trHeight w:val="300"/>
        </w:trPr>
        <w:tc>
          <w:tcPr>
            <w:tcW w:w="3227" w:type="dxa"/>
            <w:vMerge w:val="restart"/>
            <w:shd w:val="clear" w:color="auto" w:fill="FFFFFF" w:themeFill="background1"/>
            <w:noWrap/>
            <w:hideMark/>
          </w:tcPr>
          <w:p w14:paraId="53C116BB" w14:textId="62ED90E8" w:rsidR="001A4AEB" w:rsidRDefault="001A4AEB" w:rsidP="001A4AEB">
            <w:pPr>
              <w:rPr>
                <w:b/>
                <w:sz w:val="18"/>
                <w:szCs w:val="18"/>
                <w:lang w:val="en-GB"/>
              </w:rPr>
            </w:pPr>
            <w:r>
              <w:rPr>
                <w:b/>
                <w:sz w:val="18"/>
                <w:szCs w:val="18"/>
                <w:lang w:val="en-GB"/>
              </w:rPr>
              <w:t>∆</w:t>
            </w:r>
            <w:r w:rsidRPr="003B04AB">
              <w:rPr>
                <w:b/>
                <w:sz w:val="18"/>
                <w:szCs w:val="18"/>
                <w:lang w:val="en-GB"/>
              </w:rPr>
              <w:t>4 androstenedione</w:t>
            </w:r>
            <w:r w:rsidR="003557E0">
              <w:rPr>
                <w:b/>
                <w:sz w:val="18"/>
                <w:szCs w:val="18"/>
                <w:lang w:val="en-GB"/>
              </w:rPr>
              <w:t xml:space="preserve"> (nmol/L)</w:t>
            </w:r>
          </w:p>
          <w:p w14:paraId="3191D395" w14:textId="77777777" w:rsidR="001A4AEB" w:rsidRPr="00F726C7" w:rsidRDefault="001A4AEB" w:rsidP="001A4AEB">
            <w:pPr>
              <w:rPr>
                <w:sz w:val="18"/>
                <w:szCs w:val="18"/>
                <w:lang w:val="en-GB"/>
              </w:rPr>
            </w:pPr>
            <w:r w:rsidRPr="00C851D8">
              <w:rPr>
                <w:sz w:val="16"/>
                <w:szCs w:val="16"/>
                <w:lang w:val="en-GB"/>
              </w:rPr>
              <w:t>liquid chromatography tandem mass spectrometry (LC/MSMS</w:t>
            </w:r>
            <w:r>
              <w:rPr>
                <w:sz w:val="16"/>
                <w:szCs w:val="16"/>
                <w:lang w:val="en-GB"/>
              </w:rPr>
              <w:t>)</w:t>
            </w:r>
          </w:p>
        </w:tc>
        <w:tc>
          <w:tcPr>
            <w:tcW w:w="1044" w:type="dxa"/>
            <w:noWrap/>
            <w:vAlign w:val="bottom"/>
            <w:hideMark/>
          </w:tcPr>
          <w:p w14:paraId="426ED831" w14:textId="1BC25C72" w:rsidR="001A4AEB" w:rsidRDefault="001A4AEB" w:rsidP="001A4AEB">
            <w:pPr>
              <w:jc w:val="right"/>
              <w:rPr>
                <w:rFonts w:ascii="Calibri" w:hAnsi="Calibri"/>
                <w:color w:val="000000"/>
              </w:rPr>
            </w:pPr>
            <w:r>
              <w:rPr>
                <w:rFonts w:ascii="Calibri" w:hAnsi="Calibri"/>
                <w:color w:val="000000"/>
              </w:rPr>
              <w:t>6,099</w:t>
            </w:r>
          </w:p>
        </w:tc>
        <w:tc>
          <w:tcPr>
            <w:tcW w:w="1045" w:type="dxa"/>
            <w:noWrap/>
            <w:vAlign w:val="bottom"/>
            <w:hideMark/>
          </w:tcPr>
          <w:p w14:paraId="31689A35" w14:textId="5210D424" w:rsidR="001A4AEB" w:rsidRDefault="001A4AEB" w:rsidP="001A4AEB">
            <w:pPr>
              <w:jc w:val="right"/>
              <w:rPr>
                <w:rFonts w:ascii="Calibri" w:hAnsi="Calibri"/>
                <w:color w:val="000000"/>
              </w:rPr>
            </w:pPr>
            <w:r>
              <w:rPr>
                <w:rFonts w:ascii="Calibri" w:hAnsi="Calibri"/>
                <w:color w:val="000000"/>
              </w:rPr>
              <w:t>2,338</w:t>
            </w:r>
          </w:p>
        </w:tc>
        <w:tc>
          <w:tcPr>
            <w:tcW w:w="1045" w:type="dxa"/>
            <w:noWrap/>
            <w:vAlign w:val="bottom"/>
            <w:hideMark/>
          </w:tcPr>
          <w:p w14:paraId="14F0A4E5" w14:textId="2E90D99B" w:rsidR="001A4AEB" w:rsidRPr="00255FAB" w:rsidRDefault="001A4AEB" w:rsidP="001A4AEB">
            <w:pPr>
              <w:jc w:val="right"/>
              <w:rPr>
                <w:rFonts w:ascii="Calibri" w:hAnsi="Calibri"/>
                <w:b/>
                <w:sz w:val="18"/>
                <w:szCs w:val="18"/>
              </w:rPr>
            </w:pPr>
            <w:r w:rsidRPr="001A4AEB">
              <w:rPr>
                <w:rFonts w:ascii="Calibri" w:hAnsi="Calibri"/>
                <w:b/>
                <w:sz w:val="18"/>
                <w:szCs w:val="18"/>
              </w:rPr>
              <w:t>&lt;0,001</w:t>
            </w:r>
          </w:p>
        </w:tc>
        <w:tc>
          <w:tcPr>
            <w:tcW w:w="1044" w:type="dxa"/>
            <w:noWrap/>
            <w:vAlign w:val="bottom"/>
            <w:hideMark/>
          </w:tcPr>
          <w:p w14:paraId="6EF29D29" w14:textId="342D00FE" w:rsidR="001A4AEB" w:rsidRPr="002A43A3" w:rsidRDefault="001A4AEB" w:rsidP="001A4AEB">
            <w:pPr>
              <w:jc w:val="right"/>
              <w:rPr>
                <w:rFonts w:ascii="Calibri" w:hAnsi="Calibri"/>
                <w:color w:val="000000"/>
              </w:rPr>
            </w:pPr>
            <w:r>
              <w:rPr>
                <w:rFonts w:ascii="Calibri" w:hAnsi="Calibri"/>
                <w:color w:val="000000"/>
              </w:rPr>
              <w:t>2,325</w:t>
            </w:r>
          </w:p>
        </w:tc>
        <w:tc>
          <w:tcPr>
            <w:tcW w:w="1045" w:type="dxa"/>
            <w:noWrap/>
            <w:vAlign w:val="bottom"/>
            <w:hideMark/>
          </w:tcPr>
          <w:p w14:paraId="6C842208" w14:textId="3B3C90BC" w:rsidR="001A4AEB" w:rsidRPr="00255FAB" w:rsidRDefault="001A4AEB" w:rsidP="001A4AEB">
            <w:pPr>
              <w:jc w:val="right"/>
              <w:rPr>
                <w:rFonts w:ascii="Calibri" w:hAnsi="Calibri"/>
                <w:b/>
                <w:sz w:val="18"/>
                <w:szCs w:val="18"/>
              </w:rPr>
            </w:pPr>
            <w:r w:rsidRPr="001A4AEB">
              <w:rPr>
                <w:rFonts w:ascii="Calibri" w:hAnsi="Calibri"/>
                <w:b/>
                <w:sz w:val="18"/>
                <w:szCs w:val="18"/>
              </w:rPr>
              <w:t>0,008</w:t>
            </w:r>
          </w:p>
        </w:tc>
        <w:tc>
          <w:tcPr>
            <w:tcW w:w="1045" w:type="dxa"/>
            <w:noWrap/>
            <w:vAlign w:val="bottom"/>
            <w:hideMark/>
          </w:tcPr>
          <w:p w14:paraId="241A7BBA" w14:textId="37477F12" w:rsidR="001A4AEB" w:rsidRDefault="001A4AEB" w:rsidP="001A4AEB">
            <w:pPr>
              <w:jc w:val="right"/>
              <w:rPr>
                <w:rFonts w:ascii="Calibri" w:hAnsi="Calibri"/>
                <w:color w:val="000000"/>
              </w:rPr>
            </w:pPr>
            <w:r>
              <w:rPr>
                <w:rFonts w:ascii="Calibri" w:hAnsi="Calibri"/>
                <w:color w:val="000000"/>
              </w:rPr>
              <w:t>2,574</w:t>
            </w:r>
          </w:p>
        </w:tc>
        <w:tc>
          <w:tcPr>
            <w:tcW w:w="1044" w:type="dxa"/>
            <w:noWrap/>
            <w:vAlign w:val="bottom"/>
            <w:hideMark/>
          </w:tcPr>
          <w:p w14:paraId="27095AED" w14:textId="2E8BD821" w:rsidR="001A4AEB" w:rsidRDefault="001A4AEB" w:rsidP="001A4AEB">
            <w:pPr>
              <w:jc w:val="right"/>
              <w:rPr>
                <w:rFonts w:ascii="Calibri" w:hAnsi="Calibri"/>
                <w:color w:val="000000"/>
              </w:rPr>
            </w:pPr>
            <w:r>
              <w:rPr>
                <w:rFonts w:ascii="Calibri" w:hAnsi="Calibri"/>
                <w:color w:val="000000"/>
              </w:rPr>
              <w:t>2,802</w:t>
            </w:r>
          </w:p>
        </w:tc>
        <w:tc>
          <w:tcPr>
            <w:tcW w:w="1045" w:type="dxa"/>
            <w:noWrap/>
            <w:vAlign w:val="bottom"/>
            <w:hideMark/>
          </w:tcPr>
          <w:p w14:paraId="2CF1ED19" w14:textId="0404B07B" w:rsidR="001A4AEB" w:rsidRPr="00255FAB" w:rsidRDefault="001A4AEB" w:rsidP="001A4AEB">
            <w:pPr>
              <w:jc w:val="right"/>
              <w:rPr>
                <w:rFonts w:ascii="Calibri" w:hAnsi="Calibri"/>
                <w:b/>
                <w:sz w:val="18"/>
                <w:szCs w:val="18"/>
              </w:rPr>
            </w:pPr>
            <w:r w:rsidRPr="001A4AEB">
              <w:rPr>
                <w:rFonts w:ascii="Calibri" w:hAnsi="Calibri"/>
                <w:b/>
                <w:sz w:val="18"/>
                <w:szCs w:val="18"/>
              </w:rPr>
              <w:t>0,139</w:t>
            </w:r>
          </w:p>
        </w:tc>
        <w:tc>
          <w:tcPr>
            <w:tcW w:w="1045" w:type="dxa"/>
            <w:noWrap/>
            <w:vAlign w:val="bottom"/>
            <w:hideMark/>
          </w:tcPr>
          <w:p w14:paraId="582197FF" w14:textId="17E6580B" w:rsidR="001A4AEB" w:rsidRPr="001A4AEB" w:rsidRDefault="001A4AEB" w:rsidP="001A4AEB">
            <w:pPr>
              <w:jc w:val="right"/>
              <w:rPr>
                <w:rFonts w:ascii="Calibri" w:hAnsi="Calibri"/>
                <w:color w:val="000000"/>
                <w:vertAlign w:val="superscript"/>
              </w:rPr>
            </w:pPr>
            <w:r>
              <w:rPr>
                <w:rFonts w:ascii="Calibri" w:hAnsi="Calibri"/>
                <w:color w:val="000000"/>
              </w:rPr>
              <w:t>4,224</w:t>
            </w:r>
            <w:r>
              <w:rPr>
                <w:rFonts w:ascii="Calibri" w:hAnsi="Calibri"/>
                <w:color w:val="000000"/>
                <w:vertAlign w:val="superscript"/>
              </w:rPr>
              <w:t>b</w:t>
            </w:r>
          </w:p>
        </w:tc>
        <w:tc>
          <w:tcPr>
            <w:tcW w:w="1229" w:type="dxa"/>
            <w:noWrap/>
            <w:vAlign w:val="bottom"/>
            <w:hideMark/>
          </w:tcPr>
          <w:p w14:paraId="1BD0E928" w14:textId="2C512271" w:rsidR="001A4AEB" w:rsidRPr="00255FAB" w:rsidRDefault="001A4AEB" w:rsidP="001A4AEB">
            <w:pPr>
              <w:jc w:val="right"/>
              <w:rPr>
                <w:rFonts w:ascii="Calibri" w:hAnsi="Calibri"/>
                <w:b/>
                <w:sz w:val="18"/>
                <w:szCs w:val="18"/>
              </w:rPr>
            </w:pPr>
            <w:r w:rsidRPr="001A4AEB">
              <w:rPr>
                <w:rFonts w:ascii="Calibri" w:hAnsi="Calibri"/>
                <w:b/>
                <w:sz w:val="18"/>
                <w:szCs w:val="18"/>
              </w:rPr>
              <w:t>0,18</w:t>
            </w:r>
          </w:p>
        </w:tc>
      </w:tr>
      <w:tr w:rsidR="00FE7A56" w:rsidRPr="002A729A" w14:paraId="33688EDD" w14:textId="77777777" w:rsidTr="00E64253">
        <w:trPr>
          <w:trHeight w:val="300"/>
        </w:trPr>
        <w:tc>
          <w:tcPr>
            <w:tcW w:w="3227" w:type="dxa"/>
            <w:vMerge/>
            <w:shd w:val="clear" w:color="auto" w:fill="FFFFFF" w:themeFill="background1"/>
            <w:noWrap/>
            <w:hideMark/>
          </w:tcPr>
          <w:p w14:paraId="2235AF0E" w14:textId="77777777" w:rsidR="00FE7A56" w:rsidRPr="00C851D8" w:rsidRDefault="00FE7A56" w:rsidP="00E64253">
            <w:pPr>
              <w:rPr>
                <w:b/>
                <w:sz w:val="18"/>
                <w:szCs w:val="18"/>
                <w:lang w:val="en-GB"/>
              </w:rPr>
            </w:pPr>
          </w:p>
        </w:tc>
        <w:tc>
          <w:tcPr>
            <w:tcW w:w="10631" w:type="dxa"/>
            <w:gridSpan w:val="10"/>
            <w:noWrap/>
            <w:vAlign w:val="bottom"/>
            <w:hideMark/>
          </w:tcPr>
          <w:p w14:paraId="00896EB4" w14:textId="0EE50B0E" w:rsidR="00FE7A56" w:rsidRPr="00C851D8" w:rsidRDefault="00FE7A56" w:rsidP="00F9097F">
            <w:pPr>
              <w:jc w:val="center"/>
              <w:rPr>
                <w:rFonts w:ascii="Calibri" w:hAnsi="Calibri"/>
                <w:b/>
                <w:sz w:val="18"/>
                <w:szCs w:val="18"/>
                <w:lang w:val="en-GB"/>
              </w:rPr>
            </w:pPr>
            <w:r>
              <w:rPr>
                <w:rFonts w:ascii="Calibri" w:hAnsi="Calibri"/>
                <w:b/>
                <w:sz w:val="18"/>
                <w:szCs w:val="18"/>
                <w:lang w:val="en-GB"/>
              </w:rPr>
              <w:t>Reference (n</w:t>
            </w:r>
            <w:r w:rsidR="00274F7A">
              <w:rPr>
                <w:rFonts w:ascii="Calibri" w:hAnsi="Calibri"/>
                <w:b/>
                <w:sz w:val="18"/>
                <w:szCs w:val="18"/>
                <w:lang w:val="en-GB"/>
              </w:rPr>
              <w:t>mol</w:t>
            </w:r>
            <w:r>
              <w:rPr>
                <w:rFonts w:ascii="Calibri" w:hAnsi="Calibri"/>
                <w:b/>
                <w:sz w:val="18"/>
                <w:szCs w:val="18"/>
                <w:lang w:val="en-GB"/>
              </w:rPr>
              <w:t>/L): M 14-1</w:t>
            </w:r>
            <w:r w:rsidR="00F9097F">
              <w:rPr>
                <w:rFonts w:ascii="Calibri" w:hAnsi="Calibri"/>
                <w:b/>
                <w:sz w:val="18"/>
                <w:szCs w:val="18"/>
                <w:lang w:val="en-GB"/>
              </w:rPr>
              <w:t>8</w:t>
            </w:r>
            <w:r>
              <w:rPr>
                <w:rFonts w:ascii="Calibri" w:hAnsi="Calibri"/>
                <w:b/>
                <w:sz w:val="18"/>
                <w:szCs w:val="18"/>
                <w:lang w:val="en-GB"/>
              </w:rPr>
              <w:t xml:space="preserve">y: </w:t>
            </w:r>
            <w:r w:rsidR="00F9097F">
              <w:rPr>
                <w:rFonts w:ascii="Calibri" w:hAnsi="Calibri"/>
                <w:b/>
                <w:sz w:val="18"/>
                <w:szCs w:val="18"/>
                <w:lang w:val="en-GB"/>
              </w:rPr>
              <w:t>0,628</w:t>
            </w:r>
            <w:r>
              <w:rPr>
                <w:rFonts w:ascii="Calibri" w:hAnsi="Calibri"/>
                <w:b/>
                <w:sz w:val="18"/>
                <w:szCs w:val="18"/>
                <w:lang w:val="en-GB"/>
              </w:rPr>
              <w:t>-</w:t>
            </w:r>
            <w:r w:rsidR="00F9097F">
              <w:rPr>
                <w:rFonts w:ascii="Calibri" w:hAnsi="Calibri"/>
                <w:b/>
                <w:sz w:val="18"/>
                <w:szCs w:val="18"/>
                <w:lang w:val="en-GB"/>
              </w:rPr>
              <w:t>4,118</w:t>
            </w:r>
            <w:r>
              <w:rPr>
                <w:rFonts w:ascii="Calibri" w:hAnsi="Calibri"/>
                <w:b/>
                <w:sz w:val="18"/>
                <w:szCs w:val="18"/>
                <w:lang w:val="en-GB"/>
              </w:rPr>
              <w:t xml:space="preserve">, M 18-40y: </w:t>
            </w:r>
            <w:r w:rsidR="00F9097F">
              <w:rPr>
                <w:rFonts w:ascii="Calibri" w:hAnsi="Calibri"/>
                <w:b/>
                <w:sz w:val="18"/>
                <w:szCs w:val="18"/>
                <w:lang w:val="en-GB"/>
              </w:rPr>
              <w:t>1,152</w:t>
            </w:r>
            <w:r>
              <w:rPr>
                <w:rFonts w:ascii="Calibri" w:hAnsi="Calibri"/>
                <w:b/>
                <w:sz w:val="18"/>
                <w:szCs w:val="18"/>
                <w:lang w:val="en-GB"/>
              </w:rPr>
              <w:t>-</w:t>
            </w:r>
            <w:r w:rsidR="00F9097F">
              <w:rPr>
                <w:rFonts w:ascii="Calibri" w:hAnsi="Calibri"/>
                <w:b/>
                <w:sz w:val="18"/>
                <w:szCs w:val="18"/>
                <w:lang w:val="en-GB"/>
              </w:rPr>
              <w:t>4,677</w:t>
            </w:r>
            <w:r>
              <w:rPr>
                <w:rFonts w:ascii="Calibri" w:hAnsi="Calibri"/>
                <w:b/>
                <w:sz w:val="18"/>
                <w:szCs w:val="18"/>
                <w:lang w:val="en-GB"/>
              </w:rPr>
              <w:t>, F 14-</w:t>
            </w:r>
            <w:r w:rsidR="00F9097F">
              <w:rPr>
                <w:rFonts w:ascii="Calibri" w:hAnsi="Calibri"/>
                <w:b/>
                <w:sz w:val="18"/>
                <w:szCs w:val="18"/>
                <w:lang w:val="en-GB"/>
              </w:rPr>
              <w:t>18</w:t>
            </w:r>
            <w:r>
              <w:rPr>
                <w:rFonts w:ascii="Calibri" w:hAnsi="Calibri"/>
                <w:b/>
                <w:sz w:val="18"/>
                <w:szCs w:val="18"/>
                <w:lang w:val="en-GB"/>
              </w:rPr>
              <w:t xml:space="preserve">y: </w:t>
            </w:r>
            <w:r w:rsidR="00F9097F">
              <w:rPr>
                <w:rFonts w:ascii="Calibri" w:hAnsi="Calibri"/>
                <w:b/>
                <w:sz w:val="18"/>
                <w:szCs w:val="18"/>
                <w:lang w:val="en-GB"/>
              </w:rPr>
              <w:t>1,222-7,399</w:t>
            </w:r>
            <w:r>
              <w:rPr>
                <w:rFonts w:ascii="Calibri" w:hAnsi="Calibri"/>
                <w:b/>
                <w:sz w:val="18"/>
                <w:szCs w:val="18"/>
                <w:lang w:val="en-GB"/>
              </w:rPr>
              <w:t xml:space="preserve">, F 18-40y: </w:t>
            </w:r>
            <w:r w:rsidR="00F9097F">
              <w:rPr>
                <w:rFonts w:ascii="Calibri" w:hAnsi="Calibri"/>
                <w:b/>
                <w:sz w:val="18"/>
                <w:szCs w:val="18"/>
                <w:lang w:val="en-GB"/>
              </w:rPr>
              <w:t>0,907-7,469</w:t>
            </w:r>
          </w:p>
        </w:tc>
      </w:tr>
    </w:tbl>
    <w:p w14:paraId="75E75F9E" w14:textId="6E223F23" w:rsidR="00FE7A56" w:rsidRDefault="00A83D36" w:rsidP="005B20B4">
      <w:pPr>
        <w:jc w:val="both"/>
        <w:rPr>
          <w:sz w:val="18"/>
          <w:szCs w:val="18"/>
          <w:lang w:val="en-GB"/>
        </w:rPr>
      </w:pPr>
      <w:r w:rsidRPr="00901F8D">
        <w:rPr>
          <w:sz w:val="18"/>
          <w:szCs w:val="18"/>
          <w:lang w:val="en-GB"/>
        </w:rPr>
        <w:t>First column</w:t>
      </w:r>
      <w:r>
        <w:rPr>
          <w:sz w:val="18"/>
          <w:szCs w:val="18"/>
          <w:lang w:val="en-GB"/>
        </w:rPr>
        <w:t xml:space="preserve">: biochemical parameters </w:t>
      </w:r>
      <w:r w:rsidRPr="00F93743">
        <w:rPr>
          <w:sz w:val="18"/>
          <w:szCs w:val="18"/>
          <w:lang w:val="en-GB"/>
        </w:rPr>
        <w:t>in SI units</w:t>
      </w:r>
      <w:r w:rsidR="00C24208">
        <w:rPr>
          <w:sz w:val="18"/>
          <w:szCs w:val="18"/>
          <w:lang w:val="en-GB"/>
        </w:rPr>
        <w:t xml:space="preserve">; </w:t>
      </w:r>
      <w:r w:rsidR="005E5DEA">
        <w:rPr>
          <w:sz w:val="18"/>
          <w:szCs w:val="18"/>
          <w:lang w:val="en-GB"/>
        </w:rPr>
        <w:t>CA</w:t>
      </w:r>
      <w:r>
        <w:rPr>
          <w:sz w:val="18"/>
          <w:szCs w:val="18"/>
          <w:lang w:val="en-GB"/>
        </w:rPr>
        <w:t>0: mean</w:t>
      </w:r>
      <w:r w:rsidRPr="00901F8D">
        <w:rPr>
          <w:sz w:val="18"/>
          <w:szCs w:val="18"/>
          <w:lang w:val="en-GB"/>
        </w:rPr>
        <w:t xml:space="preserve"> values befo</w:t>
      </w:r>
      <w:r w:rsidR="005E5DEA">
        <w:rPr>
          <w:sz w:val="18"/>
          <w:szCs w:val="18"/>
          <w:lang w:val="en-GB"/>
        </w:rPr>
        <w:t>re initiation of CA</w:t>
      </w:r>
      <w:r>
        <w:rPr>
          <w:sz w:val="18"/>
          <w:szCs w:val="18"/>
          <w:lang w:val="en-GB"/>
        </w:rPr>
        <w:t xml:space="preserve">; </w:t>
      </w:r>
      <w:r w:rsidR="005E5DEA">
        <w:rPr>
          <w:sz w:val="18"/>
          <w:szCs w:val="18"/>
          <w:lang w:val="en-GB"/>
        </w:rPr>
        <w:t>CA</w:t>
      </w:r>
      <w:r>
        <w:rPr>
          <w:sz w:val="18"/>
          <w:szCs w:val="18"/>
          <w:lang w:val="en-GB"/>
        </w:rPr>
        <w:t>6m: mean</w:t>
      </w:r>
      <w:r w:rsidR="005E5DEA">
        <w:rPr>
          <w:sz w:val="18"/>
          <w:szCs w:val="18"/>
          <w:lang w:val="en-GB"/>
        </w:rPr>
        <w:t xml:space="preserve"> values after six months of CA</w:t>
      </w:r>
      <w:r w:rsidRPr="00901F8D">
        <w:rPr>
          <w:sz w:val="18"/>
          <w:szCs w:val="18"/>
          <w:lang w:val="en-GB"/>
        </w:rPr>
        <w:t>; P(</w:t>
      </w:r>
      <w:r w:rsidR="005E5DEA">
        <w:rPr>
          <w:sz w:val="18"/>
          <w:szCs w:val="18"/>
          <w:lang w:val="en-GB"/>
        </w:rPr>
        <w:t>CA</w:t>
      </w:r>
      <w:r w:rsidRPr="00901F8D">
        <w:rPr>
          <w:sz w:val="18"/>
          <w:szCs w:val="18"/>
          <w:lang w:val="en-GB"/>
        </w:rPr>
        <w:t xml:space="preserve">0-6m): P-values </w:t>
      </w:r>
      <w:r w:rsidR="00377F3E">
        <w:rPr>
          <w:sz w:val="18"/>
          <w:szCs w:val="18"/>
          <w:lang w:val="en-GB"/>
        </w:rPr>
        <w:t>for</w:t>
      </w:r>
      <w:r w:rsidRPr="00901F8D">
        <w:rPr>
          <w:sz w:val="18"/>
          <w:szCs w:val="18"/>
          <w:lang w:val="en-GB"/>
        </w:rPr>
        <w:t xml:space="preserve"> comparison of baseline parameters with values after six months of </w:t>
      </w:r>
      <w:r w:rsidR="005E5DEA">
        <w:rPr>
          <w:sz w:val="18"/>
          <w:szCs w:val="18"/>
          <w:lang w:val="en-GB"/>
        </w:rPr>
        <w:t>CA; CA</w:t>
      </w:r>
      <w:r w:rsidRPr="00901F8D">
        <w:rPr>
          <w:sz w:val="18"/>
          <w:szCs w:val="18"/>
          <w:lang w:val="en-GB"/>
        </w:rPr>
        <w:t xml:space="preserve">12m: </w:t>
      </w:r>
      <w:r>
        <w:rPr>
          <w:sz w:val="18"/>
          <w:szCs w:val="18"/>
          <w:lang w:val="en-GB"/>
        </w:rPr>
        <w:t>mean</w:t>
      </w:r>
      <w:r w:rsidR="005E5DEA">
        <w:rPr>
          <w:sz w:val="18"/>
          <w:szCs w:val="18"/>
          <w:lang w:val="en-GB"/>
        </w:rPr>
        <w:t xml:space="preserve"> values after twelve months of CA; P(CA</w:t>
      </w:r>
      <w:r w:rsidRPr="00901F8D">
        <w:rPr>
          <w:sz w:val="18"/>
          <w:szCs w:val="18"/>
          <w:lang w:val="en-GB"/>
        </w:rPr>
        <w:t xml:space="preserve">0-12m): P-values </w:t>
      </w:r>
      <w:r w:rsidR="00377F3E">
        <w:rPr>
          <w:sz w:val="18"/>
          <w:szCs w:val="18"/>
          <w:lang w:val="en-GB"/>
        </w:rPr>
        <w:t>for</w:t>
      </w:r>
      <w:r w:rsidR="00377F3E" w:rsidRPr="00901F8D">
        <w:rPr>
          <w:sz w:val="18"/>
          <w:szCs w:val="18"/>
          <w:lang w:val="en-GB"/>
        </w:rPr>
        <w:t xml:space="preserve"> </w:t>
      </w:r>
      <w:r w:rsidRPr="00901F8D">
        <w:rPr>
          <w:sz w:val="18"/>
          <w:szCs w:val="18"/>
          <w:lang w:val="en-GB"/>
        </w:rPr>
        <w:t>comparison of baseline parameters with</w:t>
      </w:r>
      <w:r w:rsidR="005E5DEA">
        <w:rPr>
          <w:sz w:val="18"/>
          <w:szCs w:val="18"/>
          <w:lang w:val="en-GB"/>
        </w:rPr>
        <w:t xml:space="preserve"> values after twelve months of CA</w:t>
      </w:r>
      <w:r w:rsidRPr="00901F8D">
        <w:rPr>
          <w:sz w:val="18"/>
          <w:szCs w:val="18"/>
          <w:lang w:val="en-GB"/>
        </w:rPr>
        <w:t xml:space="preserve">; </w:t>
      </w:r>
      <w:r w:rsidR="005E5DEA">
        <w:rPr>
          <w:sz w:val="18"/>
          <w:szCs w:val="18"/>
          <w:lang w:val="en-GB"/>
        </w:rPr>
        <w:t>C</w:t>
      </w:r>
      <w:r w:rsidR="00F310DF">
        <w:rPr>
          <w:sz w:val="18"/>
          <w:szCs w:val="18"/>
          <w:lang w:val="en-GB"/>
        </w:rPr>
        <w:t>A</w:t>
      </w:r>
      <w:r w:rsidRPr="00901F8D">
        <w:rPr>
          <w:sz w:val="18"/>
          <w:szCs w:val="18"/>
          <w:lang w:val="en-GB"/>
        </w:rPr>
        <w:t>+</w:t>
      </w:r>
      <w:r w:rsidR="005E5DEA">
        <w:rPr>
          <w:sz w:val="18"/>
          <w:szCs w:val="18"/>
          <w:lang w:val="en-GB"/>
        </w:rPr>
        <w:t>E</w:t>
      </w:r>
      <w:r w:rsidRPr="00901F8D">
        <w:rPr>
          <w:sz w:val="18"/>
          <w:szCs w:val="18"/>
          <w:lang w:val="en-GB"/>
        </w:rPr>
        <w:t xml:space="preserve">0: </w:t>
      </w:r>
      <w:r>
        <w:rPr>
          <w:sz w:val="18"/>
          <w:szCs w:val="18"/>
          <w:lang w:val="en-GB"/>
        </w:rPr>
        <w:t>mean</w:t>
      </w:r>
      <w:r w:rsidRPr="00901F8D">
        <w:rPr>
          <w:sz w:val="18"/>
          <w:szCs w:val="18"/>
          <w:lang w:val="en-GB"/>
        </w:rPr>
        <w:t xml:space="preserve"> values before initiation of </w:t>
      </w:r>
      <w:r w:rsidR="005E5DEA">
        <w:rPr>
          <w:sz w:val="18"/>
          <w:szCs w:val="18"/>
          <w:lang w:val="en-GB"/>
        </w:rPr>
        <w:t>C</w:t>
      </w:r>
      <w:r w:rsidR="00F310DF">
        <w:rPr>
          <w:sz w:val="18"/>
          <w:szCs w:val="18"/>
          <w:lang w:val="en-GB"/>
        </w:rPr>
        <w:t>A</w:t>
      </w:r>
      <w:r w:rsidRPr="00901F8D">
        <w:rPr>
          <w:sz w:val="18"/>
          <w:szCs w:val="18"/>
          <w:lang w:val="en-GB"/>
        </w:rPr>
        <w:t>+</w:t>
      </w:r>
      <w:r w:rsidR="005E5DEA">
        <w:rPr>
          <w:sz w:val="18"/>
          <w:szCs w:val="18"/>
          <w:lang w:val="en-GB"/>
        </w:rPr>
        <w:t>E</w:t>
      </w:r>
      <w:r w:rsidRPr="00901F8D">
        <w:rPr>
          <w:sz w:val="18"/>
          <w:szCs w:val="18"/>
          <w:lang w:val="en-GB"/>
        </w:rPr>
        <w:t xml:space="preserve">; </w:t>
      </w:r>
      <w:r w:rsidR="005E5DEA">
        <w:rPr>
          <w:sz w:val="18"/>
          <w:szCs w:val="18"/>
          <w:lang w:val="en-GB"/>
        </w:rPr>
        <w:t>C</w:t>
      </w:r>
      <w:r w:rsidR="00F310DF">
        <w:rPr>
          <w:sz w:val="18"/>
          <w:szCs w:val="18"/>
          <w:lang w:val="en-GB"/>
        </w:rPr>
        <w:t>A</w:t>
      </w:r>
      <w:r w:rsidR="005E5DEA" w:rsidRPr="00901F8D">
        <w:rPr>
          <w:sz w:val="18"/>
          <w:szCs w:val="18"/>
          <w:lang w:val="en-GB"/>
        </w:rPr>
        <w:t>+</w:t>
      </w:r>
      <w:r w:rsidR="005E5DEA">
        <w:rPr>
          <w:sz w:val="18"/>
          <w:szCs w:val="18"/>
          <w:lang w:val="en-GB"/>
        </w:rPr>
        <w:t>E</w:t>
      </w:r>
      <w:r w:rsidRPr="00901F8D">
        <w:rPr>
          <w:sz w:val="18"/>
          <w:szCs w:val="18"/>
          <w:lang w:val="en-GB"/>
        </w:rPr>
        <w:t xml:space="preserve">6m: </w:t>
      </w:r>
      <w:r>
        <w:rPr>
          <w:sz w:val="18"/>
          <w:szCs w:val="18"/>
          <w:lang w:val="en-GB"/>
        </w:rPr>
        <w:t>mean</w:t>
      </w:r>
      <w:r w:rsidRPr="00901F8D">
        <w:rPr>
          <w:sz w:val="18"/>
          <w:szCs w:val="18"/>
          <w:lang w:val="en-GB"/>
        </w:rPr>
        <w:t xml:space="preserve"> values after six months of </w:t>
      </w:r>
      <w:r w:rsidR="005E5DEA">
        <w:rPr>
          <w:sz w:val="18"/>
          <w:szCs w:val="18"/>
          <w:lang w:val="en-GB"/>
        </w:rPr>
        <w:t>C</w:t>
      </w:r>
      <w:r w:rsidR="00F310DF">
        <w:rPr>
          <w:sz w:val="18"/>
          <w:szCs w:val="18"/>
          <w:lang w:val="en-GB"/>
        </w:rPr>
        <w:t>A</w:t>
      </w:r>
      <w:r w:rsidR="005E5DEA" w:rsidRPr="00901F8D">
        <w:rPr>
          <w:sz w:val="18"/>
          <w:szCs w:val="18"/>
          <w:lang w:val="en-GB"/>
        </w:rPr>
        <w:t>+</w:t>
      </w:r>
      <w:r w:rsidR="005E5DEA">
        <w:rPr>
          <w:sz w:val="18"/>
          <w:szCs w:val="18"/>
          <w:lang w:val="en-GB"/>
        </w:rPr>
        <w:t>E</w:t>
      </w:r>
      <w:r w:rsidRPr="00901F8D">
        <w:rPr>
          <w:sz w:val="18"/>
          <w:szCs w:val="18"/>
          <w:lang w:val="en-GB"/>
        </w:rPr>
        <w:t>; P(</w:t>
      </w:r>
      <w:r w:rsidR="005E5DEA">
        <w:rPr>
          <w:sz w:val="18"/>
          <w:szCs w:val="18"/>
          <w:lang w:val="en-GB"/>
        </w:rPr>
        <w:t>C</w:t>
      </w:r>
      <w:r w:rsidR="00F310DF">
        <w:rPr>
          <w:sz w:val="18"/>
          <w:szCs w:val="18"/>
          <w:lang w:val="en-GB"/>
        </w:rPr>
        <w:t>A</w:t>
      </w:r>
      <w:r w:rsidR="005E5DEA" w:rsidRPr="00901F8D">
        <w:rPr>
          <w:sz w:val="18"/>
          <w:szCs w:val="18"/>
          <w:lang w:val="en-GB"/>
        </w:rPr>
        <w:t>+</w:t>
      </w:r>
      <w:r w:rsidR="005E5DEA">
        <w:rPr>
          <w:sz w:val="18"/>
          <w:szCs w:val="18"/>
          <w:lang w:val="en-GB"/>
        </w:rPr>
        <w:t>E</w:t>
      </w:r>
      <w:r w:rsidRPr="00901F8D">
        <w:rPr>
          <w:sz w:val="18"/>
          <w:szCs w:val="18"/>
          <w:lang w:val="en-GB"/>
        </w:rPr>
        <w:t xml:space="preserve">0-6m): P-values of comparison of baseline parameters with values after six months of </w:t>
      </w:r>
      <w:r w:rsidR="005E5DEA">
        <w:rPr>
          <w:sz w:val="18"/>
          <w:szCs w:val="18"/>
          <w:lang w:val="en-GB"/>
        </w:rPr>
        <w:t>C</w:t>
      </w:r>
      <w:r w:rsidR="00F310DF">
        <w:rPr>
          <w:sz w:val="18"/>
          <w:szCs w:val="18"/>
          <w:lang w:val="en-GB"/>
        </w:rPr>
        <w:t>A</w:t>
      </w:r>
      <w:r w:rsidR="005E5DEA" w:rsidRPr="00901F8D">
        <w:rPr>
          <w:sz w:val="18"/>
          <w:szCs w:val="18"/>
          <w:lang w:val="en-GB"/>
        </w:rPr>
        <w:t>+</w:t>
      </w:r>
      <w:r w:rsidR="005E5DEA">
        <w:rPr>
          <w:sz w:val="18"/>
          <w:szCs w:val="18"/>
          <w:lang w:val="en-GB"/>
        </w:rPr>
        <w:t>E</w:t>
      </w:r>
      <w:r w:rsidRPr="00901F8D">
        <w:rPr>
          <w:sz w:val="18"/>
          <w:szCs w:val="18"/>
          <w:lang w:val="en-GB"/>
        </w:rPr>
        <w:t xml:space="preserve">; </w:t>
      </w:r>
      <w:r w:rsidR="005E5DEA">
        <w:rPr>
          <w:sz w:val="18"/>
          <w:szCs w:val="18"/>
          <w:lang w:val="en-GB"/>
        </w:rPr>
        <w:t>C</w:t>
      </w:r>
      <w:r w:rsidR="00F310DF">
        <w:rPr>
          <w:sz w:val="18"/>
          <w:szCs w:val="18"/>
          <w:lang w:val="en-GB"/>
        </w:rPr>
        <w:t>A</w:t>
      </w:r>
      <w:r w:rsidR="005E5DEA" w:rsidRPr="00901F8D">
        <w:rPr>
          <w:sz w:val="18"/>
          <w:szCs w:val="18"/>
          <w:lang w:val="en-GB"/>
        </w:rPr>
        <w:t>+</w:t>
      </w:r>
      <w:r w:rsidR="005E5DEA">
        <w:rPr>
          <w:sz w:val="18"/>
          <w:szCs w:val="18"/>
          <w:lang w:val="en-GB"/>
        </w:rPr>
        <w:t>E</w:t>
      </w:r>
      <w:r w:rsidRPr="00901F8D">
        <w:rPr>
          <w:sz w:val="18"/>
          <w:szCs w:val="18"/>
          <w:lang w:val="en-GB"/>
        </w:rPr>
        <w:t xml:space="preserve">12m: </w:t>
      </w:r>
      <w:r>
        <w:rPr>
          <w:sz w:val="18"/>
          <w:szCs w:val="18"/>
          <w:lang w:val="en-GB"/>
        </w:rPr>
        <w:t>mean</w:t>
      </w:r>
      <w:r w:rsidRPr="00901F8D">
        <w:rPr>
          <w:sz w:val="18"/>
          <w:szCs w:val="18"/>
          <w:lang w:val="en-GB"/>
        </w:rPr>
        <w:t xml:space="preserve"> values after twelve months of </w:t>
      </w:r>
      <w:r w:rsidR="005E5DEA">
        <w:rPr>
          <w:sz w:val="18"/>
          <w:szCs w:val="18"/>
          <w:lang w:val="en-GB"/>
        </w:rPr>
        <w:t>C</w:t>
      </w:r>
      <w:r w:rsidR="00F310DF">
        <w:rPr>
          <w:sz w:val="18"/>
          <w:szCs w:val="18"/>
          <w:lang w:val="en-GB"/>
        </w:rPr>
        <w:t>A</w:t>
      </w:r>
      <w:r w:rsidR="005E5DEA" w:rsidRPr="00901F8D">
        <w:rPr>
          <w:sz w:val="18"/>
          <w:szCs w:val="18"/>
          <w:lang w:val="en-GB"/>
        </w:rPr>
        <w:t>+</w:t>
      </w:r>
      <w:r w:rsidR="005E5DEA">
        <w:rPr>
          <w:sz w:val="18"/>
          <w:szCs w:val="18"/>
          <w:lang w:val="en-GB"/>
        </w:rPr>
        <w:t>E; P(C</w:t>
      </w:r>
      <w:r w:rsidR="00F310DF">
        <w:rPr>
          <w:sz w:val="18"/>
          <w:szCs w:val="18"/>
          <w:lang w:val="en-GB"/>
        </w:rPr>
        <w:t>A</w:t>
      </w:r>
      <w:r w:rsidR="005E5DEA" w:rsidRPr="00901F8D">
        <w:rPr>
          <w:sz w:val="18"/>
          <w:szCs w:val="18"/>
          <w:lang w:val="en-GB"/>
        </w:rPr>
        <w:t>+</w:t>
      </w:r>
      <w:r w:rsidR="005E5DEA">
        <w:rPr>
          <w:sz w:val="18"/>
          <w:szCs w:val="18"/>
          <w:lang w:val="en-GB"/>
        </w:rPr>
        <w:t>E</w:t>
      </w:r>
      <w:r w:rsidRPr="00901F8D">
        <w:rPr>
          <w:sz w:val="18"/>
          <w:szCs w:val="18"/>
          <w:lang w:val="en-GB"/>
        </w:rPr>
        <w:t xml:space="preserve">0-12m): P-values </w:t>
      </w:r>
      <w:r w:rsidR="00377F3E">
        <w:rPr>
          <w:sz w:val="18"/>
          <w:szCs w:val="18"/>
          <w:lang w:val="en-GB"/>
        </w:rPr>
        <w:t>for</w:t>
      </w:r>
      <w:r w:rsidRPr="00901F8D">
        <w:rPr>
          <w:sz w:val="18"/>
          <w:szCs w:val="18"/>
          <w:lang w:val="en-GB"/>
        </w:rPr>
        <w:t xml:space="preserve"> comparison of baseline parameters with values after twelve months of </w:t>
      </w:r>
      <w:r w:rsidR="005E5DEA">
        <w:rPr>
          <w:sz w:val="18"/>
          <w:szCs w:val="18"/>
          <w:lang w:val="en-GB"/>
        </w:rPr>
        <w:t>C</w:t>
      </w:r>
      <w:r w:rsidR="00F310DF">
        <w:rPr>
          <w:sz w:val="18"/>
          <w:szCs w:val="18"/>
          <w:lang w:val="en-GB"/>
        </w:rPr>
        <w:t>A</w:t>
      </w:r>
      <w:r w:rsidR="005E5DEA" w:rsidRPr="00901F8D">
        <w:rPr>
          <w:sz w:val="18"/>
          <w:szCs w:val="18"/>
          <w:lang w:val="en-GB"/>
        </w:rPr>
        <w:t>+</w:t>
      </w:r>
      <w:r w:rsidR="005E5DEA">
        <w:rPr>
          <w:sz w:val="18"/>
          <w:szCs w:val="18"/>
          <w:lang w:val="en-GB"/>
        </w:rPr>
        <w:t>E</w:t>
      </w:r>
      <w:r w:rsidRPr="00901F8D">
        <w:rPr>
          <w:sz w:val="18"/>
          <w:szCs w:val="18"/>
          <w:lang w:val="en-GB"/>
        </w:rPr>
        <w:t>.</w:t>
      </w:r>
      <w:r>
        <w:rPr>
          <w:sz w:val="18"/>
          <w:szCs w:val="18"/>
          <w:lang w:val="en-GB"/>
        </w:rPr>
        <w:t xml:space="preserve"> </w:t>
      </w:r>
      <w:r w:rsidR="005E5DEA">
        <w:rPr>
          <w:sz w:val="18"/>
          <w:szCs w:val="18"/>
          <w:lang w:val="en-GB"/>
        </w:rPr>
        <w:t>CA</w:t>
      </w:r>
      <w:r>
        <w:rPr>
          <w:sz w:val="18"/>
          <w:szCs w:val="18"/>
          <w:lang w:val="en-GB"/>
        </w:rPr>
        <w:t xml:space="preserve">: </w:t>
      </w:r>
      <w:r w:rsidR="005E5DEA">
        <w:rPr>
          <w:sz w:val="18"/>
          <w:szCs w:val="18"/>
          <w:lang w:val="en-GB"/>
        </w:rPr>
        <w:t>cyproterone acetate</w:t>
      </w:r>
      <w:r>
        <w:rPr>
          <w:sz w:val="18"/>
          <w:szCs w:val="18"/>
          <w:lang w:val="en-GB"/>
        </w:rPr>
        <w:t xml:space="preserve"> monotherapy; </w:t>
      </w:r>
      <w:r w:rsidR="005E5DEA">
        <w:rPr>
          <w:sz w:val="18"/>
          <w:szCs w:val="18"/>
          <w:lang w:val="en-GB"/>
        </w:rPr>
        <w:t>C</w:t>
      </w:r>
      <w:r w:rsidR="00F310DF">
        <w:rPr>
          <w:sz w:val="18"/>
          <w:szCs w:val="18"/>
          <w:lang w:val="en-GB"/>
        </w:rPr>
        <w:t>A</w:t>
      </w:r>
      <w:r w:rsidR="005E5DEA" w:rsidRPr="00901F8D">
        <w:rPr>
          <w:sz w:val="18"/>
          <w:szCs w:val="18"/>
          <w:lang w:val="en-GB"/>
        </w:rPr>
        <w:t>+</w:t>
      </w:r>
      <w:r w:rsidR="005E5DEA">
        <w:rPr>
          <w:sz w:val="18"/>
          <w:szCs w:val="18"/>
          <w:lang w:val="en-GB"/>
        </w:rPr>
        <w:t>E</w:t>
      </w:r>
      <w:r>
        <w:rPr>
          <w:sz w:val="18"/>
          <w:szCs w:val="18"/>
          <w:lang w:val="en-GB"/>
        </w:rPr>
        <w:t xml:space="preserve">: </w:t>
      </w:r>
      <w:r w:rsidR="005E5DEA">
        <w:rPr>
          <w:sz w:val="18"/>
          <w:szCs w:val="18"/>
          <w:lang w:val="en-GB"/>
        </w:rPr>
        <w:t>cyproterone acetate</w:t>
      </w:r>
      <w:r>
        <w:rPr>
          <w:sz w:val="18"/>
          <w:szCs w:val="18"/>
          <w:lang w:val="en-GB"/>
        </w:rPr>
        <w:t xml:space="preserve"> and </w:t>
      </w:r>
      <w:r w:rsidR="005E5DEA">
        <w:rPr>
          <w:sz w:val="18"/>
          <w:szCs w:val="18"/>
          <w:lang w:val="en-GB"/>
        </w:rPr>
        <w:t>17β-estradiol</w:t>
      </w:r>
      <w:r>
        <w:rPr>
          <w:sz w:val="18"/>
          <w:szCs w:val="18"/>
          <w:lang w:val="en-GB"/>
        </w:rPr>
        <w:t xml:space="preserve"> combination therapy. </w:t>
      </w:r>
      <w:r w:rsidRPr="002403F7">
        <w:rPr>
          <w:sz w:val="18"/>
          <w:szCs w:val="18"/>
          <w:lang w:val="en-GB"/>
        </w:rPr>
        <w:t>M: male reference, F: female reference.</w:t>
      </w:r>
      <w:r>
        <w:rPr>
          <w:sz w:val="18"/>
          <w:szCs w:val="18"/>
          <w:lang w:val="en-GB"/>
        </w:rPr>
        <w:t xml:space="preserve"> Y: years old.</w:t>
      </w:r>
      <w:r w:rsidRPr="002403F7">
        <w:rPr>
          <w:sz w:val="18"/>
          <w:szCs w:val="18"/>
          <w:lang w:val="en-GB"/>
        </w:rPr>
        <w:t xml:space="preserve"> Cycle dependant: different reference </w:t>
      </w:r>
      <w:r>
        <w:rPr>
          <w:sz w:val="18"/>
          <w:szCs w:val="18"/>
          <w:lang w:val="en-GB"/>
        </w:rPr>
        <w:t xml:space="preserve">ranges </w:t>
      </w:r>
      <w:r w:rsidRPr="002403F7">
        <w:rPr>
          <w:sz w:val="18"/>
          <w:szCs w:val="18"/>
          <w:lang w:val="en-GB"/>
        </w:rPr>
        <w:t xml:space="preserve">according to different stages of menstrual cycle (maximum upper and lower limit of all cycle stages are represented), Tanner: different reference </w:t>
      </w:r>
      <w:r>
        <w:rPr>
          <w:sz w:val="18"/>
          <w:szCs w:val="18"/>
          <w:lang w:val="en-GB"/>
        </w:rPr>
        <w:t xml:space="preserve">ranges </w:t>
      </w:r>
      <w:r w:rsidRPr="002403F7">
        <w:rPr>
          <w:sz w:val="18"/>
          <w:szCs w:val="18"/>
          <w:lang w:val="en-GB"/>
        </w:rPr>
        <w:t>according to different Tanner stages (maximum upper and lower limit of all Tanner stages are represented)</w:t>
      </w:r>
      <w:r w:rsidR="000631A1">
        <w:rPr>
          <w:sz w:val="18"/>
          <w:szCs w:val="18"/>
          <w:lang w:val="en-GB"/>
        </w:rPr>
        <w:t xml:space="preserve">. </w:t>
      </w:r>
      <w:r w:rsidR="00EA7B0F">
        <w:rPr>
          <w:sz w:val="18"/>
          <w:szCs w:val="18"/>
          <w:lang w:val="en-GB"/>
        </w:rPr>
        <w:t xml:space="preserve">a: </w:t>
      </w:r>
      <w:r w:rsidR="00060401" w:rsidRPr="00060401">
        <w:rPr>
          <w:sz w:val="18"/>
          <w:szCs w:val="18"/>
          <w:lang w:val="en-GB"/>
        </w:rPr>
        <w:t>In all patients who had contin</w:t>
      </w:r>
      <w:r w:rsidR="00060401">
        <w:rPr>
          <w:sz w:val="18"/>
          <w:szCs w:val="18"/>
          <w:lang w:val="en-GB"/>
        </w:rPr>
        <w:t>ued CA+E for 12 months, i</w:t>
      </w:r>
      <w:r w:rsidR="00060401" w:rsidRPr="00060401">
        <w:rPr>
          <w:sz w:val="18"/>
          <w:szCs w:val="18"/>
          <w:lang w:val="en-GB"/>
        </w:rPr>
        <w:t xml:space="preserve">nhibin B levels had increased as compared to </w:t>
      </w:r>
      <w:r w:rsidR="002F0AFE">
        <w:rPr>
          <w:sz w:val="18"/>
          <w:szCs w:val="18"/>
          <w:lang w:val="en-GB"/>
        </w:rPr>
        <w:t>start of CA+E</w:t>
      </w:r>
      <w:r w:rsidR="00060401" w:rsidRPr="00060401">
        <w:rPr>
          <w:sz w:val="18"/>
          <w:szCs w:val="18"/>
          <w:lang w:val="en-GB"/>
        </w:rPr>
        <w:t xml:space="preserve">. Absolute values of Inhibin B at CA+E12m were lower as compared to baseline due to the fact that only a subgroup of individuals who had measurements at baseline and 6 months had continued treatment for 12 months, making direct comparison difficult. </w:t>
      </w:r>
      <w:r w:rsidR="00CE2734">
        <w:rPr>
          <w:sz w:val="18"/>
          <w:szCs w:val="18"/>
          <w:lang w:val="en-GB"/>
        </w:rPr>
        <w:t xml:space="preserve">b: Similar to the phenomenon described in a, </w:t>
      </w:r>
      <w:r w:rsidR="00EA7B0F">
        <w:rPr>
          <w:sz w:val="18"/>
          <w:szCs w:val="18"/>
          <w:lang w:val="en-GB"/>
        </w:rPr>
        <w:t xml:space="preserve">mean </w:t>
      </w:r>
      <w:r w:rsidR="00EA7B0F" w:rsidRPr="00EA7B0F">
        <w:rPr>
          <w:sz w:val="18"/>
          <w:szCs w:val="18"/>
          <w:lang w:val="en-GB"/>
        </w:rPr>
        <w:t>∆4 androstenedione</w:t>
      </w:r>
      <w:r w:rsidR="00EA7B0F">
        <w:rPr>
          <w:sz w:val="18"/>
          <w:szCs w:val="18"/>
          <w:lang w:val="en-GB"/>
        </w:rPr>
        <w:t xml:space="preserve"> levels decrease</w:t>
      </w:r>
      <w:r w:rsidR="00CE2734">
        <w:rPr>
          <w:sz w:val="18"/>
          <w:szCs w:val="18"/>
          <w:lang w:val="en-GB"/>
        </w:rPr>
        <w:t xml:space="preserve">d after 12 months of CA+E as </w:t>
      </w:r>
      <w:r w:rsidR="00EA7B0F">
        <w:rPr>
          <w:sz w:val="18"/>
          <w:szCs w:val="18"/>
          <w:lang w:val="en-GB"/>
        </w:rPr>
        <w:t>compar</w:t>
      </w:r>
      <w:r w:rsidR="00CE2734">
        <w:rPr>
          <w:sz w:val="18"/>
          <w:szCs w:val="18"/>
          <w:lang w:val="en-GB"/>
        </w:rPr>
        <w:t>ed to</w:t>
      </w:r>
      <w:r w:rsidR="00EA7B0F">
        <w:rPr>
          <w:sz w:val="18"/>
          <w:szCs w:val="18"/>
          <w:lang w:val="en-GB"/>
        </w:rPr>
        <w:t xml:space="preserve"> baseline.</w:t>
      </w:r>
      <w:r w:rsidR="005B20B4">
        <w:rPr>
          <w:sz w:val="18"/>
          <w:szCs w:val="18"/>
          <w:lang w:val="en-GB"/>
        </w:rPr>
        <w:t xml:space="preserve"> </w:t>
      </w:r>
    </w:p>
    <w:p w14:paraId="37FA8FD9" w14:textId="77777777" w:rsidR="005B20B4" w:rsidRPr="000631A1" w:rsidRDefault="005B20B4" w:rsidP="005B20B4">
      <w:pPr>
        <w:jc w:val="both"/>
        <w:rPr>
          <w:sz w:val="18"/>
          <w:szCs w:val="18"/>
          <w:lang w:val="en-GB"/>
        </w:rPr>
        <w:sectPr w:rsidR="005B20B4" w:rsidRPr="000631A1" w:rsidSect="00FE7A56">
          <w:pgSz w:w="16838" w:h="11906" w:orient="landscape"/>
          <w:pgMar w:top="1417" w:right="1417" w:bottom="1417" w:left="1417" w:header="708" w:footer="708" w:gutter="0"/>
          <w:cols w:space="708"/>
          <w:docGrid w:linePitch="360"/>
        </w:sectPr>
      </w:pPr>
    </w:p>
    <w:p w14:paraId="57AE8FDA" w14:textId="0EBE4BB6" w:rsidR="005E10BE" w:rsidRPr="005E10BE" w:rsidRDefault="00B271BF" w:rsidP="003F1A80">
      <w:pPr>
        <w:pStyle w:val="Kop2"/>
        <w:spacing w:before="120"/>
        <w:rPr>
          <w:lang w:val="en-GB"/>
        </w:rPr>
      </w:pPr>
      <w:bookmarkStart w:id="48" w:name="_Toc451961504"/>
      <w:r>
        <w:rPr>
          <w:lang w:val="en-GB"/>
        </w:rPr>
        <w:lastRenderedPageBreak/>
        <w:t>Monotherapy of p</w:t>
      </w:r>
      <w:r w:rsidR="00AA514B">
        <w:rPr>
          <w:lang w:val="en-GB"/>
        </w:rPr>
        <w:t>rogestins on the musculoskeletal system</w:t>
      </w:r>
      <w:bookmarkEnd w:id="48"/>
    </w:p>
    <w:p w14:paraId="5ED1727D" w14:textId="77777777" w:rsidR="00522CB4" w:rsidRDefault="00522CB4" w:rsidP="003F1A80">
      <w:pPr>
        <w:pStyle w:val="Kop3"/>
        <w:spacing w:before="120"/>
        <w:rPr>
          <w:lang w:val="en-US"/>
        </w:rPr>
      </w:pPr>
      <w:bookmarkStart w:id="49" w:name="_Toc451961505"/>
      <w:r>
        <w:rPr>
          <w:lang w:val="en-US"/>
        </w:rPr>
        <w:t>Patients and treatment</w:t>
      </w:r>
      <w:bookmarkEnd w:id="49"/>
    </w:p>
    <w:p w14:paraId="4946D508" w14:textId="330F46F7" w:rsidR="00E41E1E" w:rsidRPr="002D3A34" w:rsidRDefault="009B3900" w:rsidP="005B20B4">
      <w:pPr>
        <w:spacing w:after="0" w:line="360" w:lineRule="auto"/>
        <w:jc w:val="both"/>
        <w:rPr>
          <w:lang w:val="en-US"/>
        </w:rPr>
      </w:pPr>
      <w:r>
        <w:rPr>
          <w:lang w:val="en-US"/>
        </w:rPr>
        <w:t xml:space="preserve">Investigations were performed in 48 adolescents </w:t>
      </w:r>
      <w:r w:rsidR="005E10BE">
        <w:rPr>
          <w:lang w:val="en-US"/>
        </w:rPr>
        <w:t xml:space="preserve">before initiation of progestin monotherapy and before association of </w:t>
      </w:r>
      <w:r>
        <w:rPr>
          <w:lang w:val="en-US"/>
        </w:rPr>
        <w:t xml:space="preserve">the progestin with </w:t>
      </w:r>
      <w:r w:rsidR="005E10BE">
        <w:rPr>
          <w:lang w:val="en-US"/>
        </w:rPr>
        <w:t>CSH</w:t>
      </w:r>
      <w:r w:rsidR="00522CB4">
        <w:rPr>
          <w:lang w:val="en-US"/>
        </w:rPr>
        <w:t xml:space="preserve">. </w:t>
      </w:r>
      <w:r>
        <w:rPr>
          <w:lang w:val="en-US"/>
        </w:rPr>
        <w:t>Thirty-three FtM</w:t>
      </w:r>
      <w:r w:rsidR="00215843">
        <w:rPr>
          <w:lang w:val="en-US"/>
        </w:rPr>
        <w:t xml:space="preserve"> trans</w:t>
      </w:r>
      <w:r w:rsidR="00493539">
        <w:rPr>
          <w:lang w:val="en-US"/>
        </w:rPr>
        <w:t>gender</w:t>
      </w:r>
      <w:r>
        <w:rPr>
          <w:lang w:val="en-US"/>
        </w:rPr>
        <w:t xml:space="preserve"> </w:t>
      </w:r>
      <w:r w:rsidR="00522CB4">
        <w:rPr>
          <w:lang w:val="en-US"/>
        </w:rPr>
        <w:t xml:space="preserve">adolescents </w:t>
      </w:r>
      <w:r>
        <w:rPr>
          <w:lang w:val="en-US"/>
        </w:rPr>
        <w:t>received</w:t>
      </w:r>
      <w:r w:rsidR="00522CB4">
        <w:rPr>
          <w:lang w:val="en-US"/>
        </w:rPr>
        <w:t xml:space="preserve"> L</w:t>
      </w:r>
      <w:r>
        <w:rPr>
          <w:lang w:val="en-US"/>
        </w:rPr>
        <w:t xml:space="preserve">; </w:t>
      </w:r>
      <w:r w:rsidR="00522CB4">
        <w:rPr>
          <w:lang w:val="en-US"/>
        </w:rPr>
        <w:t>fifteen</w:t>
      </w:r>
      <w:r>
        <w:rPr>
          <w:lang w:val="en-US"/>
        </w:rPr>
        <w:t xml:space="preserve"> MtF </w:t>
      </w:r>
      <w:r w:rsidR="00215843">
        <w:rPr>
          <w:lang w:val="en-US"/>
        </w:rPr>
        <w:t>trans</w:t>
      </w:r>
      <w:r w:rsidR="00493539">
        <w:rPr>
          <w:lang w:val="en-US"/>
        </w:rPr>
        <w:t>gender</w:t>
      </w:r>
      <w:r w:rsidR="00215843">
        <w:rPr>
          <w:lang w:val="en-US"/>
        </w:rPr>
        <w:t xml:space="preserve"> </w:t>
      </w:r>
      <w:r>
        <w:rPr>
          <w:lang w:val="en-US"/>
        </w:rPr>
        <w:t>adolescents</w:t>
      </w:r>
      <w:r w:rsidR="00522CB4">
        <w:rPr>
          <w:lang w:val="en-US"/>
        </w:rPr>
        <w:t xml:space="preserve"> were </w:t>
      </w:r>
      <w:r>
        <w:rPr>
          <w:lang w:val="en-US"/>
        </w:rPr>
        <w:t>given</w:t>
      </w:r>
      <w:r w:rsidR="00522CB4">
        <w:rPr>
          <w:lang w:val="en-US"/>
        </w:rPr>
        <w:t xml:space="preserve"> CA.</w:t>
      </w:r>
      <w:r w:rsidR="00DC755F">
        <w:rPr>
          <w:lang w:val="en-US"/>
        </w:rPr>
        <w:t xml:space="preserve"> Mean treatment duration</w:t>
      </w:r>
      <w:r w:rsidR="007A6498">
        <w:rPr>
          <w:lang w:val="en-US"/>
        </w:rPr>
        <w:t xml:space="preserve"> </w:t>
      </w:r>
      <w:r>
        <w:rPr>
          <w:lang w:val="en-US"/>
        </w:rPr>
        <w:t>with</w:t>
      </w:r>
      <w:r w:rsidR="007A6498">
        <w:rPr>
          <w:lang w:val="en-US"/>
        </w:rPr>
        <w:t xml:space="preserve"> progestins </w:t>
      </w:r>
      <w:r w:rsidR="00DC755F">
        <w:rPr>
          <w:lang w:val="en-US"/>
        </w:rPr>
        <w:t>was 11,5 months.</w:t>
      </w:r>
    </w:p>
    <w:p w14:paraId="767B08A9" w14:textId="5CB21AEB" w:rsidR="006018CF" w:rsidRPr="00B15837" w:rsidRDefault="00FD5AB2" w:rsidP="003F1A80">
      <w:pPr>
        <w:pStyle w:val="Kop3"/>
        <w:spacing w:before="0"/>
        <w:rPr>
          <w:lang w:val="en-US"/>
        </w:rPr>
      </w:pPr>
      <w:bookmarkStart w:id="50" w:name="_Toc451961506"/>
      <w:r>
        <w:rPr>
          <w:lang w:val="en-US"/>
        </w:rPr>
        <w:t>Biochemical</w:t>
      </w:r>
      <w:r w:rsidR="009B3900">
        <w:rPr>
          <w:lang w:val="en-US"/>
        </w:rPr>
        <w:t xml:space="preserve"> data</w:t>
      </w:r>
      <w:r>
        <w:rPr>
          <w:lang w:val="en-US"/>
        </w:rPr>
        <w:t xml:space="preserve"> </w:t>
      </w:r>
      <w:r w:rsidR="00A44497">
        <w:rPr>
          <w:lang w:val="en-US"/>
        </w:rPr>
        <w:t>(Table 10</w:t>
      </w:r>
      <w:r w:rsidR="0096719C">
        <w:rPr>
          <w:lang w:val="en-US"/>
        </w:rPr>
        <w:t>)</w:t>
      </w:r>
      <w:bookmarkEnd w:id="50"/>
    </w:p>
    <w:p w14:paraId="43C4ABBD" w14:textId="467B4D33" w:rsidR="00977F3C" w:rsidRPr="00362735" w:rsidRDefault="006018CF" w:rsidP="005B20B4">
      <w:pPr>
        <w:spacing w:after="0" w:line="360" w:lineRule="auto"/>
        <w:jc w:val="both"/>
        <w:rPr>
          <w:lang w:val="en-US"/>
        </w:rPr>
      </w:pPr>
      <w:r w:rsidRPr="00281301">
        <w:rPr>
          <w:i/>
          <w:lang w:val="en-US"/>
        </w:rPr>
        <w:t>P1NP</w:t>
      </w:r>
      <w:r w:rsidRPr="00281301">
        <w:rPr>
          <w:lang w:val="en-US"/>
        </w:rPr>
        <w:t xml:space="preserve">, a marker for bone formation, decreased significantly in both the L and CA groups. </w:t>
      </w:r>
      <w:r w:rsidRPr="00281301">
        <w:rPr>
          <w:i/>
          <w:lang w:val="en-US"/>
        </w:rPr>
        <w:t>DP1</w:t>
      </w:r>
      <w:r w:rsidRPr="00281301">
        <w:rPr>
          <w:lang w:val="en-US"/>
        </w:rPr>
        <w:t>, a</w:t>
      </w:r>
      <w:r>
        <w:rPr>
          <w:lang w:val="en-US"/>
        </w:rPr>
        <w:t xml:space="preserve"> marker for bone degradation, d</w:t>
      </w:r>
      <w:r w:rsidR="005B20B4">
        <w:rPr>
          <w:lang w:val="en-US"/>
        </w:rPr>
        <w:t xml:space="preserve">id not change in both groups. </w:t>
      </w:r>
      <w:r w:rsidR="00922637">
        <w:rPr>
          <w:lang w:val="en-US"/>
        </w:rPr>
        <w:t xml:space="preserve">Due to supplementation and dietary advice, mean </w:t>
      </w:r>
      <w:r w:rsidR="00922637" w:rsidRPr="005B20B4">
        <w:rPr>
          <w:i/>
          <w:lang w:val="en-US"/>
        </w:rPr>
        <w:t>vitamin D</w:t>
      </w:r>
      <w:r w:rsidR="00922637">
        <w:rPr>
          <w:lang w:val="en-US"/>
        </w:rPr>
        <w:t xml:space="preserve"> levels increased in both groups.</w:t>
      </w:r>
      <w:r>
        <w:rPr>
          <w:lang w:val="en-US"/>
        </w:rPr>
        <w:t xml:space="preserve"> However, </w:t>
      </w:r>
      <w:r w:rsidRPr="005B20B4">
        <w:rPr>
          <w:i/>
          <w:lang w:val="en-US"/>
        </w:rPr>
        <w:t>fCa</w:t>
      </w:r>
      <w:r>
        <w:rPr>
          <w:lang w:val="en-US"/>
        </w:rPr>
        <w:t xml:space="preserve"> increased only in the L group, whereas it decreased significantly in the CA group. </w:t>
      </w:r>
    </w:p>
    <w:p w14:paraId="147C85B3" w14:textId="77AC6F07" w:rsidR="00982DCC" w:rsidRDefault="00982DCC" w:rsidP="00B15837">
      <w:pPr>
        <w:spacing w:before="120" w:after="0" w:line="240" w:lineRule="auto"/>
        <w:rPr>
          <w:lang w:val="en-US"/>
        </w:rPr>
      </w:pPr>
      <w:r w:rsidRPr="00982DCC">
        <w:rPr>
          <w:b/>
          <w:lang w:val="en-US"/>
        </w:rPr>
        <w:t xml:space="preserve">Table </w:t>
      </w:r>
      <w:r w:rsidR="005B20B4">
        <w:rPr>
          <w:b/>
          <w:lang w:val="en-US"/>
        </w:rPr>
        <w:t>1</w:t>
      </w:r>
      <w:r w:rsidR="00A44497">
        <w:rPr>
          <w:b/>
          <w:lang w:val="en-US"/>
        </w:rPr>
        <w:t>0</w:t>
      </w:r>
      <w:r w:rsidRPr="00982DCC">
        <w:rPr>
          <w:b/>
          <w:lang w:val="en-US"/>
        </w:rPr>
        <w:t>.</w:t>
      </w:r>
      <w:r>
        <w:rPr>
          <w:lang w:val="en-US"/>
        </w:rPr>
        <w:t xml:space="preserve"> Biochemical parameters</w:t>
      </w:r>
    </w:p>
    <w:tbl>
      <w:tblPr>
        <w:tblStyle w:val="Onopgemaaktetabel21"/>
        <w:tblW w:w="0" w:type="auto"/>
        <w:tblLook w:val="04A0" w:firstRow="1" w:lastRow="0" w:firstColumn="1" w:lastColumn="0" w:noHBand="0" w:noVBand="1"/>
      </w:tblPr>
      <w:tblGrid>
        <w:gridCol w:w="1951"/>
        <w:gridCol w:w="1210"/>
        <w:gridCol w:w="1210"/>
        <w:gridCol w:w="1210"/>
        <w:gridCol w:w="1210"/>
        <w:gridCol w:w="1210"/>
        <w:gridCol w:w="1211"/>
      </w:tblGrid>
      <w:tr w:rsidR="00865FC5" w:rsidRPr="00865FC5" w14:paraId="4F2AF111" w14:textId="77777777" w:rsidTr="005D73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7"/>
            <w:shd w:val="clear" w:color="auto" w:fill="D9D9D9" w:themeFill="background1" w:themeFillShade="D9"/>
          </w:tcPr>
          <w:p w14:paraId="110385A6" w14:textId="2D799ACC" w:rsidR="00865FC5" w:rsidRPr="00865FC5" w:rsidRDefault="00865FC5" w:rsidP="005D737E">
            <w:pPr>
              <w:jc w:val="center"/>
              <w:rPr>
                <w:sz w:val="18"/>
                <w:szCs w:val="18"/>
                <w:lang w:val="en-GB"/>
              </w:rPr>
            </w:pPr>
            <w:r w:rsidRPr="00865FC5">
              <w:rPr>
                <w:sz w:val="18"/>
                <w:szCs w:val="18"/>
                <w:lang w:val="en-GB"/>
              </w:rPr>
              <w:t>Biochemical</w:t>
            </w:r>
          </w:p>
        </w:tc>
      </w:tr>
      <w:tr w:rsidR="00982DCC" w:rsidRPr="007E1F7D" w14:paraId="0DF6B434" w14:textId="77777777" w:rsidTr="00E63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A8B97C9" w14:textId="77777777" w:rsidR="00982DCC" w:rsidRPr="007E1F7D" w:rsidRDefault="00982DCC" w:rsidP="00757204">
            <w:pPr>
              <w:rPr>
                <w:b w:val="0"/>
                <w:sz w:val="18"/>
                <w:szCs w:val="18"/>
                <w:lang w:val="en-GB"/>
              </w:rPr>
            </w:pPr>
            <w:r w:rsidRPr="007E1F7D">
              <w:rPr>
                <w:b w:val="0"/>
                <w:sz w:val="18"/>
                <w:szCs w:val="18"/>
                <w:lang w:val="en-GB"/>
              </w:rPr>
              <w:t>Parameter</w:t>
            </w:r>
          </w:p>
        </w:tc>
        <w:tc>
          <w:tcPr>
            <w:tcW w:w="1210" w:type="dxa"/>
          </w:tcPr>
          <w:p w14:paraId="784AA746" w14:textId="494707C5" w:rsidR="00982DCC" w:rsidRPr="007E1F7D" w:rsidRDefault="00982DCC" w:rsidP="00922637">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sidR="00922637">
              <w:rPr>
                <w:b/>
                <w:sz w:val="18"/>
                <w:szCs w:val="18"/>
                <w:lang w:val="en-GB"/>
              </w:rPr>
              <w:t>before L</w:t>
            </w:r>
            <w:r w:rsidRPr="007E1F7D">
              <w:rPr>
                <w:b/>
                <w:sz w:val="18"/>
                <w:szCs w:val="18"/>
                <w:lang w:val="en-GB"/>
              </w:rPr>
              <w:t xml:space="preserve"> </w:t>
            </w:r>
          </w:p>
        </w:tc>
        <w:tc>
          <w:tcPr>
            <w:tcW w:w="1210" w:type="dxa"/>
          </w:tcPr>
          <w:p w14:paraId="63001D8A" w14:textId="5D9094B8" w:rsidR="00982DCC" w:rsidRPr="007E1F7D" w:rsidRDefault="00982DCC" w:rsidP="00922637">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sidR="00922637">
              <w:rPr>
                <w:b/>
                <w:sz w:val="18"/>
                <w:szCs w:val="18"/>
                <w:lang w:val="en-GB"/>
              </w:rPr>
              <w:t xml:space="preserve">before </w:t>
            </w:r>
            <w:r w:rsidRPr="007E1F7D">
              <w:rPr>
                <w:b/>
                <w:sz w:val="18"/>
                <w:szCs w:val="18"/>
                <w:lang w:val="en-GB"/>
              </w:rPr>
              <w:t>C</w:t>
            </w:r>
            <w:r w:rsidR="00922637">
              <w:rPr>
                <w:b/>
                <w:sz w:val="18"/>
                <w:szCs w:val="18"/>
                <w:lang w:val="en-GB"/>
              </w:rPr>
              <w:t>SH</w:t>
            </w:r>
            <w:r w:rsidRPr="007E1F7D">
              <w:rPr>
                <w:b/>
                <w:sz w:val="18"/>
                <w:szCs w:val="18"/>
                <w:lang w:val="en-GB"/>
              </w:rPr>
              <w:t xml:space="preserve"> </w:t>
            </w:r>
          </w:p>
        </w:tc>
        <w:tc>
          <w:tcPr>
            <w:tcW w:w="1210" w:type="dxa"/>
          </w:tcPr>
          <w:p w14:paraId="167A33BE" w14:textId="77777777" w:rsidR="00982DCC" w:rsidRPr="007E1F7D" w:rsidRDefault="00982DCC" w:rsidP="00757204">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P (L)</w:t>
            </w:r>
          </w:p>
        </w:tc>
        <w:tc>
          <w:tcPr>
            <w:tcW w:w="1210" w:type="dxa"/>
          </w:tcPr>
          <w:p w14:paraId="691FB61F" w14:textId="2A196514" w:rsidR="00982DCC" w:rsidRPr="007E1F7D" w:rsidRDefault="00982DCC" w:rsidP="00B15837">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sidR="00B15837">
              <w:rPr>
                <w:b/>
                <w:sz w:val="18"/>
                <w:szCs w:val="18"/>
                <w:lang w:val="en-GB"/>
              </w:rPr>
              <w:t>before</w:t>
            </w:r>
            <w:r w:rsidRPr="007E1F7D">
              <w:rPr>
                <w:b/>
                <w:sz w:val="18"/>
                <w:szCs w:val="18"/>
                <w:lang w:val="en-GB"/>
              </w:rPr>
              <w:t xml:space="preserve"> CA</w:t>
            </w:r>
          </w:p>
        </w:tc>
        <w:tc>
          <w:tcPr>
            <w:tcW w:w="1210" w:type="dxa"/>
          </w:tcPr>
          <w:p w14:paraId="009AA2A6" w14:textId="25C50E6E" w:rsidR="00982DCC" w:rsidRPr="007E1F7D" w:rsidRDefault="00982DCC" w:rsidP="00B15837">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sidR="00B15837">
              <w:rPr>
                <w:b/>
                <w:sz w:val="18"/>
                <w:szCs w:val="18"/>
                <w:lang w:val="en-GB"/>
              </w:rPr>
              <w:t>before CSH</w:t>
            </w:r>
          </w:p>
        </w:tc>
        <w:tc>
          <w:tcPr>
            <w:tcW w:w="1211" w:type="dxa"/>
          </w:tcPr>
          <w:p w14:paraId="475E768C" w14:textId="77777777" w:rsidR="00982DCC" w:rsidRPr="007E1F7D" w:rsidRDefault="00982DCC" w:rsidP="00757204">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P (CA)</w:t>
            </w:r>
          </w:p>
        </w:tc>
      </w:tr>
      <w:tr w:rsidR="00982DCC" w14:paraId="6DD93BEE" w14:textId="77777777" w:rsidTr="00E634E6">
        <w:tc>
          <w:tcPr>
            <w:cnfStyle w:val="001000000000" w:firstRow="0" w:lastRow="0" w:firstColumn="1" w:lastColumn="0" w:oddVBand="0" w:evenVBand="0" w:oddHBand="0" w:evenHBand="0" w:firstRowFirstColumn="0" w:firstRowLastColumn="0" w:lastRowFirstColumn="0" w:lastRowLastColumn="0"/>
            <w:tcW w:w="1951" w:type="dxa"/>
          </w:tcPr>
          <w:p w14:paraId="4C6BD794" w14:textId="72DF25A1" w:rsidR="00982DCC" w:rsidRPr="00471EF6" w:rsidRDefault="00982DCC" w:rsidP="00757204">
            <w:pPr>
              <w:rPr>
                <w:sz w:val="18"/>
                <w:szCs w:val="18"/>
                <w:lang w:val="en-GB"/>
              </w:rPr>
            </w:pPr>
            <w:r w:rsidRPr="00471EF6">
              <w:rPr>
                <w:sz w:val="18"/>
                <w:szCs w:val="18"/>
                <w:lang w:val="en-GB"/>
              </w:rPr>
              <w:t>Vitamin D</w:t>
            </w:r>
            <w:r w:rsidR="000E0564">
              <w:rPr>
                <w:sz w:val="18"/>
                <w:szCs w:val="18"/>
                <w:lang w:val="en-GB"/>
              </w:rPr>
              <w:t xml:space="preserve"> (ng/mL)</w:t>
            </w:r>
          </w:p>
        </w:tc>
        <w:tc>
          <w:tcPr>
            <w:tcW w:w="1210" w:type="dxa"/>
          </w:tcPr>
          <w:p w14:paraId="603A1471" w14:textId="77777777" w:rsidR="00982DCC" w:rsidRPr="00471EF6" w:rsidRDefault="00982DCC"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17,73</w:t>
            </w:r>
          </w:p>
        </w:tc>
        <w:tc>
          <w:tcPr>
            <w:tcW w:w="1210" w:type="dxa"/>
          </w:tcPr>
          <w:p w14:paraId="2F2F1E6D" w14:textId="77777777" w:rsidR="00982DCC" w:rsidRPr="00471EF6" w:rsidRDefault="00982DCC"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23,18</w:t>
            </w:r>
          </w:p>
        </w:tc>
        <w:tc>
          <w:tcPr>
            <w:tcW w:w="1210" w:type="dxa"/>
          </w:tcPr>
          <w:p w14:paraId="3DAEFA3D" w14:textId="77777777" w:rsidR="00982DCC" w:rsidRPr="006C115D" w:rsidRDefault="00982DCC" w:rsidP="00757204">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0,002</w:t>
            </w:r>
          </w:p>
        </w:tc>
        <w:tc>
          <w:tcPr>
            <w:tcW w:w="1210" w:type="dxa"/>
          </w:tcPr>
          <w:p w14:paraId="7CC2CA4D" w14:textId="77777777" w:rsidR="00982DCC" w:rsidRPr="00471EF6" w:rsidRDefault="00982DCC"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18,05</w:t>
            </w:r>
          </w:p>
        </w:tc>
        <w:tc>
          <w:tcPr>
            <w:tcW w:w="1210" w:type="dxa"/>
          </w:tcPr>
          <w:p w14:paraId="57D7EB80" w14:textId="77777777" w:rsidR="00982DCC" w:rsidRPr="00471EF6" w:rsidRDefault="00982DCC"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24,79</w:t>
            </w:r>
          </w:p>
        </w:tc>
        <w:tc>
          <w:tcPr>
            <w:tcW w:w="1211" w:type="dxa"/>
          </w:tcPr>
          <w:p w14:paraId="11726D56" w14:textId="77777777" w:rsidR="00982DCC" w:rsidRPr="006C115D" w:rsidRDefault="00982DCC" w:rsidP="00757204">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0,039</w:t>
            </w:r>
          </w:p>
        </w:tc>
      </w:tr>
      <w:tr w:rsidR="00982DCC" w14:paraId="21181859" w14:textId="77777777" w:rsidTr="00E63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1DD0270" w14:textId="0E8B94DE" w:rsidR="00982DCC" w:rsidRPr="00471EF6" w:rsidRDefault="00982DCC" w:rsidP="00757204">
            <w:pPr>
              <w:rPr>
                <w:sz w:val="18"/>
                <w:szCs w:val="18"/>
                <w:lang w:val="en-GB"/>
              </w:rPr>
            </w:pPr>
            <w:r w:rsidRPr="00471EF6">
              <w:rPr>
                <w:sz w:val="18"/>
                <w:szCs w:val="18"/>
                <w:lang w:val="en-GB"/>
              </w:rPr>
              <w:t>DP1</w:t>
            </w:r>
            <w:r w:rsidR="000E0564">
              <w:rPr>
                <w:sz w:val="18"/>
                <w:szCs w:val="18"/>
                <w:lang w:val="en-GB"/>
              </w:rPr>
              <w:t xml:space="preserve"> (ng/mL)</w:t>
            </w:r>
          </w:p>
        </w:tc>
        <w:tc>
          <w:tcPr>
            <w:tcW w:w="1210" w:type="dxa"/>
          </w:tcPr>
          <w:p w14:paraId="56B34898" w14:textId="77777777" w:rsidR="00982DCC" w:rsidRPr="00471EF6" w:rsidRDefault="00982DCC" w:rsidP="00757204">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0,741</w:t>
            </w:r>
          </w:p>
        </w:tc>
        <w:tc>
          <w:tcPr>
            <w:tcW w:w="1210" w:type="dxa"/>
          </w:tcPr>
          <w:p w14:paraId="36F4DB1E" w14:textId="77777777" w:rsidR="00982DCC" w:rsidRPr="00471EF6" w:rsidRDefault="00982DCC" w:rsidP="00757204">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0,770</w:t>
            </w:r>
          </w:p>
        </w:tc>
        <w:tc>
          <w:tcPr>
            <w:tcW w:w="1210" w:type="dxa"/>
          </w:tcPr>
          <w:p w14:paraId="6A86D6F4" w14:textId="77777777" w:rsidR="00982DCC" w:rsidRPr="006C115D" w:rsidRDefault="00982DCC" w:rsidP="00757204">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6C115D">
              <w:rPr>
                <w:i/>
                <w:sz w:val="18"/>
                <w:szCs w:val="18"/>
                <w:lang w:val="en-GB"/>
              </w:rPr>
              <w:t>0,578</w:t>
            </w:r>
          </w:p>
        </w:tc>
        <w:tc>
          <w:tcPr>
            <w:tcW w:w="1210" w:type="dxa"/>
          </w:tcPr>
          <w:p w14:paraId="51F12C4D" w14:textId="77777777" w:rsidR="00982DCC" w:rsidRPr="00471EF6" w:rsidRDefault="00982DCC" w:rsidP="00757204">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1,120</w:t>
            </w:r>
          </w:p>
        </w:tc>
        <w:tc>
          <w:tcPr>
            <w:tcW w:w="1210" w:type="dxa"/>
          </w:tcPr>
          <w:p w14:paraId="2C3D61C3" w14:textId="77777777" w:rsidR="00982DCC" w:rsidRPr="00471EF6" w:rsidRDefault="00982DCC" w:rsidP="00757204">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0,966</w:t>
            </w:r>
          </w:p>
        </w:tc>
        <w:tc>
          <w:tcPr>
            <w:tcW w:w="1211" w:type="dxa"/>
          </w:tcPr>
          <w:p w14:paraId="49DC3CDF" w14:textId="77777777" w:rsidR="00982DCC" w:rsidRPr="006C115D" w:rsidRDefault="00982DCC" w:rsidP="00757204">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6C115D">
              <w:rPr>
                <w:i/>
                <w:sz w:val="18"/>
                <w:szCs w:val="18"/>
                <w:lang w:val="en-GB"/>
              </w:rPr>
              <w:t>0,176</w:t>
            </w:r>
          </w:p>
        </w:tc>
      </w:tr>
      <w:tr w:rsidR="00982DCC" w14:paraId="5279114F" w14:textId="77777777" w:rsidTr="00E634E6">
        <w:tc>
          <w:tcPr>
            <w:cnfStyle w:val="001000000000" w:firstRow="0" w:lastRow="0" w:firstColumn="1" w:lastColumn="0" w:oddVBand="0" w:evenVBand="0" w:oddHBand="0" w:evenHBand="0" w:firstRowFirstColumn="0" w:firstRowLastColumn="0" w:lastRowFirstColumn="0" w:lastRowLastColumn="0"/>
            <w:tcW w:w="1951" w:type="dxa"/>
          </w:tcPr>
          <w:p w14:paraId="346ABFF0" w14:textId="54437B40" w:rsidR="00982DCC" w:rsidRPr="00471EF6" w:rsidRDefault="00982DCC" w:rsidP="00757204">
            <w:pPr>
              <w:rPr>
                <w:sz w:val="18"/>
                <w:szCs w:val="18"/>
                <w:lang w:val="en-GB"/>
              </w:rPr>
            </w:pPr>
            <w:r w:rsidRPr="00471EF6">
              <w:rPr>
                <w:sz w:val="18"/>
                <w:szCs w:val="18"/>
                <w:lang w:val="en-GB"/>
              </w:rPr>
              <w:t>P1NP</w:t>
            </w:r>
            <w:r w:rsidR="000E0564">
              <w:rPr>
                <w:sz w:val="18"/>
                <w:szCs w:val="18"/>
                <w:lang w:val="en-GB"/>
              </w:rPr>
              <w:t xml:space="preserve"> (µg/L)</w:t>
            </w:r>
          </w:p>
        </w:tc>
        <w:tc>
          <w:tcPr>
            <w:tcW w:w="1210" w:type="dxa"/>
          </w:tcPr>
          <w:p w14:paraId="7E52171A" w14:textId="77777777" w:rsidR="00982DCC" w:rsidRPr="00471EF6" w:rsidRDefault="00982DCC"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163,46</w:t>
            </w:r>
          </w:p>
        </w:tc>
        <w:tc>
          <w:tcPr>
            <w:tcW w:w="1210" w:type="dxa"/>
          </w:tcPr>
          <w:p w14:paraId="2E4D3423" w14:textId="77777777" w:rsidR="00982DCC" w:rsidRPr="00471EF6" w:rsidRDefault="00982DCC"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137,19</w:t>
            </w:r>
          </w:p>
        </w:tc>
        <w:tc>
          <w:tcPr>
            <w:tcW w:w="1210" w:type="dxa"/>
          </w:tcPr>
          <w:p w14:paraId="62D5E792" w14:textId="77777777" w:rsidR="00982DCC" w:rsidRPr="006C115D" w:rsidRDefault="00982DCC" w:rsidP="00757204">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0,047</w:t>
            </w:r>
          </w:p>
        </w:tc>
        <w:tc>
          <w:tcPr>
            <w:tcW w:w="1210" w:type="dxa"/>
          </w:tcPr>
          <w:p w14:paraId="4321C978" w14:textId="77777777" w:rsidR="00982DCC" w:rsidRPr="00471EF6" w:rsidRDefault="00982DCC"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297,32</w:t>
            </w:r>
          </w:p>
        </w:tc>
        <w:tc>
          <w:tcPr>
            <w:tcW w:w="1210" w:type="dxa"/>
          </w:tcPr>
          <w:p w14:paraId="023ADCFC" w14:textId="77777777" w:rsidR="00982DCC" w:rsidRPr="00471EF6" w:rsidRDefault="00982DCC"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133,88</w:t>
            </w:r>
          </w:p>
        </w:tc>
        <w:tc>
          <w:tcPr>
            <w:tcW w:w="1211" w:type="dxa"/>
          </w:tcPr>
          <w:p w14:paraId="273C619A" w14:textId="77777777" w:rsidR="00982DCC" w:rsidRPr="006C115D" w:rsidRDefault="00982DCC" w:rsidP="00757204">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0,005</w:t>
            </w:r>
          </w:p>
        </w:tc>
      </w:tr>
      <w:tr w:rsidR="00982DCC" w14:paraId="4AD21C1E" w14:textId="77777777" w:rsidTr="00E63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999F5AB" w14:textId="77777777" w:rsidR="00982DCC" w:rsidRPr="00471EF6" w:rsidRDefault="00982DCC" w:rsidP="00757204">
            <w:pPr>
              <w:rPr>
                <w:sz w:val="18"/>
                <w:szCs w:val="18"/>
                <w:lang w:val="en-GB"/>
              </w:rPr>
            </w:pPr>
            <w:r w:rsidRPr="00471EF6">
              <w:rPr>
                <w:sz w:val="18"/>
                <w:szCs w:val="18"/>
                <w:lang w:val="en-GB"/>
              </w:rPr>
              <w:t>fCa</w:t>
            </w:r>
            <w:r>
              <w:rPr>
                <w:sz w:val="18"/>
                <w:szCs w:val="18"/>
                <w:lang w:val="en-GB"/>
              </w:rPr>
              <w:t xml:space="preserve"> (%)</w:t>
            </w:r>
          </w:p>
        </w:tc>
        <w:tc>
          <w:tcPr>
            <w:tcW w:w="1210" w:type="dxa"/>
          </w:tcPr>
          <w:p w14:paraId="72725F29" w14:textId="77777777" w:rsidR="00982DCC" w:rsidRPr="00471EF6" w:rsidRDefault="00982DCC" w:rsidP="00757204">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0,297</w:t>
            </w:r>
          </w:p>
        </w:tc>
        <w:tc>
          <w:tcPr>
            <w:tcW w:w="1210" w:type="dxa"/>
          </w:tcPr>
          <w:p w14:paraId="28B99105" w14:textId="77777777" w:rsidR="00982DCC" w:rsidRPr="00471EF6" w:rsidRDefault="00982DCC" w:rsidP="00757204">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0,316</w:t>
            </w:r>
          </w:p>
        </w:tc>
        <w:tc>
          <w:tcPr>
            <w:tcW w:w="1210" w:type="dxa"/>
          </w:tcPr>
          <w:p w14:paraId="71FD40A9" w14:textId="77777777" w:rsidR="00982DCC" w:rsidRPr="006C115D" w:rsidRDefault="00982DCC" w:rsidP="00757204">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6C115D">
              <w:rPr>
                <w:i/>
                <w:sz w:val="18"/>
                <w:szCs w:val="18"/>
                <w:lang w:val="en-GB"/>
              </w:rPr>
              <w:t>0,054</w:t>
            </w:r>
          </w:p>
        </w:tc>
        <w:tc>
          <w:tcPr>
            <w:tcW w:w="1210" w:type="dxa"/>
          </w:tcPr>
          <w:p w14:paraId="1BA6770D" w14:textId="77777777" w:rsidR="00982DCC" w:rsidRPr="00471EF6" w:rsidRDefault="00982DCC" w:rsidP="00757204">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0,351</w:t>
            </w:r>
          </w:p>
        </w:tc>
        <w:tc>
          <w:tcPr>
            <w:tcW w:w="1210" w:type="dxa"/>
          </w:tcPr>
          <w:p w14:paraId="5C31F7AD" w14:textId="77777777" w:rsidR="00982DCC" w:rsidRPr="00471EF6" w:rsidRDefault="00982DCC" w:rsidP="00757204">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0,334</w:t>
            </w:r>
          </w:p>
        </w:tc>
        <w:tc>
          <w:tcPr>
            <w:tcW w:w="1211" w:type="dxa"/>
          </w:tcPr>
          <w:p w14:paraId="03F78C68" w14:textId="77777777" w:rsidR="00982DCC" w:rsidRPr="006C115D" w:rsidRDefault="00982DCC" w:rsidP="00757204">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6C115D">
              <w:rPr>
                <w:i/>
                <w:sz w:val="18"/>
                <w:szCs w:val="18"/>
                <w:lang w:val="en-GB"/>
              </w:rPr>
              <w:t>0,012</w:t>
            </w:r>
          </w:p>
        </w:tc>
      </w:tr>
    </w:tbl>
    <w:p w14:paraId="798D766C" w14:textId="2C897FBD" w:rsidR="00FD5AB2" w:rsidRPr="00362735" w:rsidRDefault="00206058" w:rsidP="005B20B4">
      <w:pPr>
        <w:spacing w:after="0" w:line="240" w:lineRule="auto"/>
        <w:jc w:val="both"/>
        <w:rPr>
          <w:sz w:val="18"/>
          <w:szCs w:val="18"/>
          <w:lang w:val="en-US"/>
        </w:rPr>
      </w:pPr>
      <w:r>
        <w:rPr>
          <w:sz w:val="18"/>
          <w:szCs w:val="18"/>
          <w:lang w:val="en-US"/>
        </w:rPr>
        <w:t xml:space="preserve">Mean before L/CA: baseline; Mean before CSH: mean levels before start CSH; P (L/CA): results of statistical tests; </w:t>
      </w:r>
      <w:r w:rsidR="00982DCC">
        <w:rPr>
          <w:sz w:val="18"/>
          <w:szCs w:val="18"/>
          <w:lang w:val="en-US"/>
        </w:rPr>
        <w:t xml:space="preserve">DP1: </w:t>
      </w:r>
      <w:r w:rsidR="00982DCC" w:rsidRPr="00982DCC">
        <w:rPr>
          <w:sz w:val="18"/>
          <w:szCs w:val="18"/>
          <w:lang w:val="en-US"/>
        </w:rPr>
        <w:t>Type I collagen degradation product</w:t>
      </w:r>
      <w:r w:rsidR="002550F6">
        <w:rPr>
          <w:sz w:val="18"/>
          <w:szCs w:val="18"/>
          <w:lang w:val="en-US"/>
        </w:rPr>
        <w:t xml:space="preserve"> (</w:t>
      </w:r>
      <w:r w:rsidR="002550F6" w:rsidRPr="002550F6">
        <w:rPr>
          <w:sz w:val="18"/>
          <w:szCs w:val="18"/>
          <w:lang w:val="en-US"/>
        </w:rPr>
        <w:t>Electro-chemoluminescence assay</w:t>
      </w:r>
      <w:r w:rsidR="002550F6">
        <w:rPr>
          <w:sz w:val="18"/>
          <w:szCs w:val="18"/>
          <w:lang w:val="en-US"/>
        </w:rPr>
        <w:t>)</w:t>
      </w:r>
      <w:r w:rsidR="00982DCC">
        <w:rPr>
          <w:sz w:val="18"/>
          <w:szCs w:val="18"/>
          <w:lang w:val="en-US"/>
        </w:rPr>
        <w:t>;</w:t>
      </w:r>
      <w:r w:rsidR="00982DCC" w:rsidRPr="00982DCC">
        <w:rPr>
          <w:sz w:val="18"/>
          <w:szCs w:val="18"/>
          <w:lang w:val="en-US"/>
        </w:rPr>
        <w:t xml:space="preserve"> </w:t>
      </w:r>
      <w:r w:rsidR="00982DCC">
        <w:rPr>
          <w:sz w:val="18"/>
          <w:szCs w:val="18"/>
          <w:lang w:val="en-US"/>
        </w:rPr>
        <w:t xml:space="preserve">P1NP: </w:t>
      </w:r>
      <w:r w:rsidR="00982DCC" w:rsidRPr="00982DCC">
        <w:rPr>
          <w:sz w:val="18"/>
          <w:szCs w:val="18"/>
          <w:lang w:val="en-US"/>
        </w:rPr>
        <w:t>procollagen type I N-terminal propeptide</w:t>
      </w:r>
      <w:r w:rsidR="002550F6">
        <w:rPr>
          <w:sz w:val="18"/>
          <w:szCs w:val="18"/>
          <w:lang w:val="en-US"/>
        </w:rPr>
        <w:t xml:space="preserve"> (</w:t>
      </w:r>
      <w:r w:rsidR="002550F6" w:rsidRPr="002550F6">
        <w:rPr>
          <w:sz w:val="18"/>
          <w:szCs w:val="18"/>
          <w:lang w:val="en-US"/>
        </w:rPr>
        <w:t>Electro-chemoluminescence assay</w:t>
      </w:r>
      <w:r w:rsidR="002550F6">
        <w:rPr>
          <w:sz w:val="18"/>
          <w:szCs w:val="18"/>
          <w:lang w:val="en-US"/>
        </w:rPr>
        <w:t>)</w:t>
      </w:r>
      <w:r w:rsidR="00982DCC">
        <w:rPr>
          <w:sz w:val="18"/>
          <w:szCs w:val="18"/>
          <w:lang w:val="en-US"/>
        </w:rPr>
        <w:t xml:space="preserve">; fCA: </w:t>
      </w:r>
      <w:r w:rsidR="00982DCC" w:rsidRPr="00982DCC">
        <w:rPr>
          <w:sz w:val="18"/>
          <w:szCs w:val="18"/>
          <w:lang w:val="en-US"/>
        </w:rPr>
        <w:t>fr</w:t>
      </w:r>
      <w:r w:rsidR="00982DCC">
        <w:rPr>
          <w:sz w:val="18"/>
          <w:szCs w:val="18"/>
          <w:lang w:val="en-US"/>
        </w:rPr>
        <w:t>actional calcium excretion</w:t>
      </w:r>
      <w:r w:rsidR="006F1373">
        <w:rPr>
          <w:sz w:val="18"/>
          <w:szCs w:val="18"/>
          <w:lang w:val="en-US"/>
        </w:rPr>
        <w:t xml:space="preserve"> (calculated)</w:t>
      </w:r>
      <w:r w:rsidR="002838E0">
        <w:rPr>
          <w:sz w:val="18"/>
          <w:szCs w:val="18"/>
          <w:lang w:val="en-US"/>
        </w:rPr>
        <w:t>; L: lynestrenol; CA: cyproterone acetate.</w:t>
      </w:r>
    </w:p>
    <w:p w14:paraId="346B4D3A" w14:textId="4EDC7128" w:rsidR="00FD5AB2" w:rsidRPr="0031440D" w:rsidRDefault="006018CF" w:rsidP="003F1A80">
      <w:pPr>
        <w:pStyle w:val="Kop3"/>
        <w:spacing w:before="120"/>
        <w:rPr>
          <w:lang w:val="en-GB"/>
        </w:rPr>
      </w:pPr>
      <w:bookmarkStart w:id="51" w:name="_Toc451961507"/>
      <w:r>
        <w:rPr>
          <w:lang w:val="en-GB"/>
        </w:rPr>
        <w:t>Anthropometrics</w:t>
      </w:r>
      <w:r w:rsidR="00FD5AB2">
        <w:rPr>
          <w:lang w:val="en-GB"/>
        </w:rPr>
        <w:t xml:space="preserve"> and grip strength (Table </w:t>
      </w:r>
      <w:r w:rsidR="0096719C">
        <w:rPr>
          <w:lang w:val="en-GB"/>
        </w:rPr>
        <w:t>1</w:t>
      </w:r>
      <w:r w:rsidR="00A44497">
        <w:rPr>
          <w:lang w:val="en-GB"/>
        </w:rPr>
        <w:t>1</w:t>
      </w:r>
      <w:r w:rsidR="00FD5AB2">
        <w:rPr>
          <w:lang w:val="en-GB"/>
        </w:rPr>
        <w:t>)</w:t>
      </w:r>
      <w:bookmarkEnd w:id="51"/>
    </w:p>
    <w:p w14:paraId="77AB7268" w14:textId="1F6DC845" w:rsidR="00FD5AB2" w:rsidRDefault="006018CF" w:rsidP="005D737E">
      <w:pPr>
        <w:spacing w:after="0" w:line="360" w:lineRule="auto"/>
        <w:jc w:val="both"/>
        <w:rPr>
          <w:lang w:val="en-GB"/>
        </w:rPr>
      </w:pPr>
      <w:r>
        <w:rPr>
          <w:lang w:val="en-GB"/>
        </w:rPr>
        <w:t xml:space="preserve">Taking L, </w:t>
      </w:r>
      <w:r w:rsidRPr="0096719C">
        <w:rPr>
          <w:i/>
          <w:lang w:val="en-GB"/>
        </w:rPr>
        <w:t xml:space="preserve">FtM </w:t>
      </w:r>
      <w:r w:rsidR="00E634E6" w:rsidRPr="0096719C">
        <w:rPr>
          <w:i/>
          <w:lang w:val="en-GB"/>
        </w:rPr>
        <w:t>trans</w:t>
      </w:r>
      <w:r w:rsidR="00493539">
        <w:rPr>
          <w:i/>
          <w:lang w:val="en-GB"/>
        </w:rPr>
        <w:t>gender</w:t>
      </w:r>
      <w:r w:rsidR="00E634E6" w:rsidRPr="0096719C">
        <w:rPr>
          <w:i/>
          <w:lang w:val="en-GB"/>
        </w:rPr>
        <w:t xml:space="preserve"> </w:t>
      </w:r>
      <w:r w:rsidRPr="0096719C">
        <w:rPr>
          <w:i/>
          <w:lang w:val="en-GB"/>
        </w:rPr>
        <w:t>adolescents</w:t>
      </w:r>
      <w:r>
        <w:rPr>
          <w:lang w:val="en-GB"/>
        </w:rPr>
        <w:t xml:space="preserve"> grew an average of 0,9 cm and gained 2,2 kg during the study period</w:t>
      </w:r>
      <w:r w:rsidR="002F1714">
        <w:rPr>
          <w:lang w:val="en-GB"/>
        </w:rPr>
        <w:t>, which is not significantly different from age-matched female peers</w:t>
      </w:r>
      <w:r>
        <w:rPr>
          <w:lang w:val="en-GB"/>
        </w:rPr>
        <w:t>. Both waist and hip circumference increased significantly, leading to a constant waist/hip ratio</w:t>
      </w:r>
      <w:r w:rsidR="00D26FC3">
        <w:rPr>
          <w:lang w:val="en-GB"/>
        </w:rPr>
        <w:t xml:space="preserve"> (Fig. </w:t>
      </w:r>
      <w:r w:rsidR="00624AB0">
        <w:rPr>
          <w:lang w:val="en-GB"/>
        </w:rPr>
        <w:t>7</w:t>
      </w:r>
      <w:r w:rsidR="00D26FC3">
        <w:rPr>
          <w:lang w:val="en-GB"/>
        </w:rPr>
        <w:t>)</w:t>
      </w:r>
      <w:r>
        <w:rPr>
          <w:lang w:val="en-GB"/>
        </w:rPr>
        <w:t xml:space="preserve">. </w:t>
      </w:r>
      <w:r w:rsidR="00FD5AB2">
        <w:rPr>
          <w:lang w:val="en-GB"/>
        </w:rPr>
        <w:t>An increase in grip strength was noted in the dominant and non-dominant hand</w:t>
      </w:r>
      <w:r w:rsidR="00D26FC3">
        <w:rPr>
          <w:lang w:val="en-GB"/>
        </w:rPr>
        <w:t xml:space="preserve"> (Fig. </w:t>
      </w:r>
      <w:r w:rsidR="00624AB0">
        <w:rPr>
          <w:lang w:val="en-GB"/>
        </w:rPr>
        <w:t>7</w:t>
      </w:r>
      <w:r w:rsidR="00D26FC3">
        <w:rPr>
          <w:lang w:val="en-GB"/>
        </w:rPr>
        <w:t>)</w:t>
      </w:r>
      <w:r>
        <w:rPr>
          <w:lang w:val="en-GB"/>
        </w:rPr>
        <w:t xml:space="preserve">. </w:t>
      </w:r>
      <w:r w:rsidRPr="0096719C">
        <w:rPr>
          <w:i/>
          <w:lang w:val="en-GB"/>
        </w:rPr>
        <w:t xml:space="preserve">MtF </w:t>
      </w:r>
      <w:r w:rsidR="00E634E6" w:rsidRPr="0096719C">
        <w:rPr>
          <w:i/>
          <w:lang w:val="en-GB"/>
        </w:rPr>
        <w:t>trans</w:t>
      </w:r>
      <w:r w:rsidR="00493539">
        <w:rPr>
          <w:i/>
          <w:lang w:val="en-GB"/>
        </w:rPr>
        <w:t>gender</w:t>
      </w:r>
      <w:r w:rsidR="00E634E6" w:rsidRPr="0096719C">
        <w:rPr>
          <w:i/>
          <w:lang w:val="en-GB"/>
        </w:rPr>
        <w:t xml:space="preserve"> </w:t>
      </w:r>
      <w:r w:rsidRPr="0096719C">
        <w:rPr>
          <w:i/>
          <w:lang w:val="en-GB"/>
        </w:rPr>
        <w:t>a</w:t>
      </w:r>
      <w:r w:rsidR="00EC7944" w:rsidRPr="0096719C">
        <w:rPr>
          <w:i/>
          <w:lang w:val="en-GB"/>
        </w:rPr>
        <w:t>dolescents</w:t>
      </w:r>
      <w:r w:rsidR="00FD5AB2">
        <w:rPr>
          <w:lang w:val="en-GB"/>
        </w:rPr>
        <w:t xml:space="preserve"> treated with </w:t>
      </w:r>
      <w:r w:rsidR="00FD5AB2" w:rsidRPr="00E634E6">
        <w:rPr>
          <w:lang w:val="en-GB"/>
        </w:rPr>
        <w:t>CA</w:t>
      </w:r>
      <w:r w:rsidR="007A6498">
        <w:rPr>
          <w:lang w:val="en-GB"/>
        </w:rPr>
        <w:t xml:space="preserve"> </w:t>
      </w:r>
      <w:r>
        <w:rPr>
          <w:lang w:val="en-GB"/>
        </w:rPr>
        <w:t>grew on average 0,8 cm, and gained approximately 1,5 kg</w:t>
      </w:r>
      <w:r w:rsidR="002F1714">
        <w:rPr>
          <w:lang w:val="en-GB"/>
        </w:rPr>
        <w:t xml:space="preserve">, which is significantly </w:t>
      </w:r>
      <w:r w:rsidR="006F5FA0">
        <w:rPr>
          <w:lang w:val="en-GB"/>
        </w:rPr>
        <w:t>less than their</w:t>
      </w:r>
      <w:r w:rsidR="002F1714">
        <w:rPr>
          <w:lang w:val="en-GB"/>
        </w:rPr>
        <w:t xml:space="preserve"> age-matched male peers</w:t>
      </w:r>
      <w:r>
        <w:rPr>
          <w:lang w:val="en-GB"/>
        </w:rPr>
        <w:t xml:space="preserve">. </w:t>
      </w:r>
      <w:r w:rsidR="00A7186F">
        <w:rPr>
          <w:lang w:val="en-GB"/>
        </w:rPr>
        <w:t>Their waist circumference significantly decreased, whilst hip circumference remained constant, leading to a significantly decreased waist/hip ratio</w:t>
      </w:r>
      <w:r w:rsidR="00D26FC3">
        <w:rPr>
          <w:lang w:val="en-GB"/>
        </w:rPr>
        <w:t xml:space="preserve"> (Fig. </w:t>
      </w:r>
      <w:r w:rsidR="00624AB0">
        <w:rPr>
          <w:lang w:val="en-GB"/>
        </w:rPr>
        <w:t>7</w:t>
      </w:r>
      <w:r w:rsidR="00D26FC3">
        <w:rPr>
          <w:lang w:val="en-GB"/>
        </w:rPr>
        <w:t>)</w:t>
      </w:r>
      <w:r w:rsidR="00A7186F">
        <w:rPr>
          <w:lang w:val="en-GB"/>
        </w:rPr>
        <w:t xml:space="preserve">. These adolescents </w:t>
      </w:r>
      <w:r w:rsidR="007A6498">
        <w:rPr>
          <w:lang w:val="en-GB"/>
        </w:rPr>
        <w:t xml:space="preserve">had a </w:t>
      </w:r>
      <w:r w:rsidR="00F07ED2">
        <w:rPr>
          <w:lang w:val="en-GB"/>
        </w:rPr>
        <w:t xml:space="preserve">stable grip </w:t>
      </w:r>
      <w:r w:rsidR="00FD5AB2">
        <w:rPr>
          <w:lang w:val="en-GB"/>
        </w:rPr>
        <w:t>strength</w:t>
      </w:r>
      <w:r w:rsidR="00D26FC3">
        <w:rPr>
          <w:lang w:val="en-GB"/>
        </w:rPr>
        <w:t xml:space="preserve"> (Fig. </w:t>
      </w:r>
      <w:r w:rsidR="00624AB0">
        <w:rPr>
          <w:lang w:val="en-GB"/>
        </w:rPr>
        <w:t>7</w:t>
      </w:r>
      <w:r w:rsidR="00D26FC3">
        <w:rPr>
          <w:lang w:val="en-GB"/>
        </w:rPr>
        <w:t>)</w:t>
      </w:r>
      <w:r w:rsidR="00FD5AB2">
        <w:rPr>
          <w:lang w:val="en-GB"/>
        </w:rPr>
        <w:t xml:space="preserve">. </w:t>
      </w:r>
    </w:p>
    <w:p w14:paraId="4AD50892" w14:textId="7C59F714" w:rsidR="002838E0" w:rsidRPr="00E634E6" w:rsidRDefault="002838E0" w:rsidP="00E634E6">
      <w:pPr>
        <w:spacing w:before="120" w:after="0" w:line="240" w:lineRule="auto"/>
        <w:rPr>
          <w:lang w:val="en-US"/>
        </w:rPr>
      </w:pPr>
      <w:r w:rsidRPr="00E634E6">
        <w:rPr>
          <w:b/>
          <w:lang w:val="en-US"/>
        </w:rPr>
        <w:t xml:space="preserve">Table </w:t>
      </w:r>
      <w:r w:rsidR="00A44497">
        <w:rPr>
          <w:b/>
          <w:lang w:val="en-US"/>
        </w:rPr>
        <w:t>11</w:t>
      </w:r>
      <w:r w:rsidRPr="00E634E6">
        <w:rPr>
          <w:b/>
          <w:lang w:val="en-US"/>
        </w:rPr>
        <w:t>.</w:t>
      </w:r>
      <w:r w:rsidRPr="00E634E6">
        <w:rPr>
          <w:lang w:val="en-US"/>
        </w:rPr>
        <w:t xml:space="preserve"> Ant</w:t>
      </w:r>
      <w:r w:rsidR="00AA514B">
        <w:rPr>
          <w:lang w:val="en-US"/>
        </w:rPr>
        <w:t>h</w:t>
      </w:r>
      <w:r w:rsidRPr="00E634E6">
        <w:rPr>
          <w:lang w:val="en-US"/>
        </w:rPr>
        <w:t xml:space="preserve">ropometrics &amp; grip strength </w:t>
      </w:r>
    </w:p>
    <w:tbl>
      <w:tblPr>
        <w:tblStyle w:val="Onopgemaaktetabel21"/>
        <w:tblW w:w="0" w:type="auto"/>
        <w:tblLook w:val="04A0" w:firstRow="1" w:lastRow="0" w:firstColumn="1" w:lastColumn="0" w:noHBand="0" w:noVBand="1"/>
      </w:tblPr>
      <w:tblGrid>
        <w:gridCol w:w="1951"/>
        <w:gridCol w:w="1210"/>
        <w:gridCol w:w="1210"/>
        <w:gridCol w:w="1210"/>
        <w:gridCol w:w="1210"/>
        <w:gridCol w:w="1210"/>
        <w:gridCol w:w="1211"/>
      </w:tblGrid>
      <w:tr w:rsidR="002838E0" w14:paraId="1E85040F" w14:textId="77777777" w:rsidTr="00865F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7"/>
            <w:shd w:val="clear" w:color="auto" w:fill="D9D9D9" w:themeFill="background1" w:themeFillShade="D9"/>
          </w:tcPr>
          <w:p w14:paraId="69B6A280" w14:textId="1A3ED220" w:rsidR="002838E0" w:rsidRPr="00471EF6" w:rsidRDefault="002838E0" w:rsidP="00757204">
            <w:pPr>
              <w:jc w:val="center"/>
              <w:rPr>
                <w:sz w:val="18"/>
                <w:szCs w:val="18"/>
                <w:lang w:val="en-GB"/>
              </w:rPr>
            </w:pPr>
            <w:r>
              <w:rPr>
                <w:b w:val="0"/>
                <w:sz w:val="18"/>
                <w:szCs w:val="18"/>
                <w:lang w:val="en-GB"/>
              </w:rPr>
              <w:t>Ant</w:t>
            </w:r>
            <w:r w:rsidR="00AA514B">
              <w:rPr>
                <w:b w:val="0"/>
                <w:sz w:val="18"/>
                <w:szCs w:val="18"/>
                <w:lang w:val="en-GB"/>
              </w:rPr>
              <w:t>h</w:t>
            </w:r>
            <w:r>
              <w:rPr>
                <w:b w:val="0"/>
                <w:sz w:val="18"/>
                <w:szCs w:val="18"/>
                <w:lang w:val="en-GB"/>
              </w:rPr>
              <w:t>ropometrics &amp; Grip strength</w:t>
            </w:r>
          </w:p>
        </w:tc>
      </w:tr>
      <w:tr w:rsidR="00865FC5" w:rsidRPr="007E1F7D" w14:paraId="5BE78E8B" w14:textId="77777777" w:rsidTr="005D7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DDEC0E2" w14:textId="77777777" w:rsidR="00865FC5" w:rsidRPr="007E1F7D" w:rsidRDefault="00865FC5" w:rsidP="005D737E">
            <w:pPr>
              <w:rPr>
                <w:b w:val="0"/>
                <w:sz w:val="18"/>
                <w:szCs w:val="18"/>
                <w:lang w:val="en-GB"/>
              </w:rPr>
            </w:pPr>
            <w:r w:rsidRPr="007E1F7D">
              <w:rPr>
                <w:b w:val="0"/>
                <w:sz w:val="18"/>
                <w:szCs w:val="18"/>
                <w:lang w:val="en-GB"/>
              </w:rPr>
              <w:t>Parameter</w:t>
            </w:r>
          </w:p>
        </w:tc>
        <w:tc>
          <w:tcPr>
            <w:tcW w:w="1210" w:type="dxa"/>
          </w:tcPr>
          <w:p w14:paraId="159A9577" w14:textId="77777777" w:rsidR="00865FC5" w:rsidRPr="007E1F7D" w:rsidRDefault="00865FC5" w:rsidP="005D737E">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 L</w:t>
            </w:r>
            <w:r w:rsidRPr="007E1F7D">
              <w:rPr>
                <w:b/>
                <w:sz w:val="18"/>
                <w:szCs w:val="18"/>
                <w:lang w:val="en-GB"/>
              </w:rPr>
              <w:t xml:space="preserve"> </w:t>
            </w:r>
          </w:p>
        </w:tc>
        <w:tc>
          <w:tcPr>
            <w:tcW w:w="1210" w:type="dxa"/>
          </w:tcPr>
          <w:p w14:paraId="6664B757" w14:textId="77777777" w:rsidR="00865FC5" w:rsidRPr="007E1F7D" w:rsidRDefault="00865FC5" w:rsidP="005D737E">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 xml:space="preserve">before </w:t>
            </w:r>
            <w:r w:rsidRPr="007E1F7D">
              <w:rPr>
                <w:b/>
                <w:sz w:val="18"/>
                <w:szCs w:val="18"/>
                <w:lang w:val="en-GB"/>
              </w:rPr>
              <w:t>C</w:t>
            </w:r>
            <w:r>
              <w:rPr>
                <w:b/>
                <w:sz w:val="18"/>
                <w:szCs w:val="18"/>
                <w:lang w:val="en-GB"/>
              </w:rPr>
              <w:t>SH</w:t>
            </w:r>
            <w:r w:rsidRPr="007E1F7D">
              <w:rPr>
                <w:b/>
                <w:sz w:val="18"/>
                <w:szCs w:val="18"/>
                <w:lang w:val="en-GB"/>
              </w:rPr>
              <w:t xml:space="preserve"> </w:t>
            </w:r>
          </w:p>
        </w:tc>
        <w:tc>
          <w:tcPr>
            <w:tcW w:w="1210" w:type="dxa"/>
          </w:tcPr>
          <w:p w14:paraId="40DA7EE4" w14:textId="77777777" w:rsidR="00865FC5" w:rsidRPr="007E1F7D" w:rsidRDefault="00865FC5" w:rsidP="005D737E">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P (L)</w:t>
            </w:r>
          </w:p>
        </w:tc>
        <w:tc>
          <w:tcPr>
            <w:tcW w:w="1210" w:type="dxa"/>
          </w:tcPr>
          <w:p w14:paraId="1942B517" w14:textId="77777777" w:rsidR="00865FC5" w:rsidRPr="007E1F7D" w:rsidRDefault="00865FC5" w:rsidP="005D737E">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w:t>
            </w:r>
            <w:r w:rsidRPr="007E1F7D">
              <w:rPr>
                <w:b/>
                <w:sz w:val="18"/>
                <w:szCs w:val="18"/>
                <w:lang w:val="en-GB"/>
              </w:rPr>
              <w:t xml:space="preserve"> CA</w:t>
            </w:r>
          </w:p>
        </w:tc>
        <w:tc>
          <w:tcPr>
            <w:tcW w:w="1210" w:type="dxa"/>
          </w:tcPr>
          <w:p w14:paraId="2F29F90A" w14:textId="77777777" w:rsidR="00865FC5" w:rsidRPr="007E1F7D" w:rsidRDefault="00865FC5" w:rsidP="005D737E">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 CSH</w:t>
            </w:r>
          </w:p>
        </w:tc>
        <w:tc>
          <w:tcPr>
            <w:tcW w:w="1211" w:type="dxa"/>
          </w:tcPr>
          <w:p w14:paraId="7843CB9F" w14:textId="77777777" w:rsidR="00865FC5" w:rsidRPr="007E1F7D" w:rsidRDefault="00865FC5" w:rsidP="005D737E">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P (CA)</w:t>
            </w:r>
          </w:p>
        </w:tc>
      </w:tr>
      <w:tr w:rsidR="002838E0" w14:paraId="56C9DBD1" w14:textId="77777777" w:rsidTr="00865FC5">
        <w:tc>
          <w:tcPr>
            <w:cnfStyle w:val="001000000000" w:firstRow="0" w:lastRow="0" w:firstColumn="1" w:lastColumn="0" w:oddVBand="0" w:evenVBand="0" w:oddHBand="0" w:evenHBand="0" w:firstRowFirstColumn="0" w:firstRowLastColumn="0" w:lastRowFirstColumn="0" w:lastRowLastColumn="0"/>
            <w:tcW w:w="1951" w:type="dxa"/>
          </w:tcPr>
          <w:p w14:paraId="58D3AF65" w14:textId="77777777" w:rsidR="002838E0" w:rsidRPr="00471EF6" w:rsidRDefault="002838E0" w:rsidP="00757204">
            <w:pPr>
              <w:rPr>
                <w:sz w:val="18"/>
                <w:szCs w:val="18"/>
                <w:lang w:val="en-GB"/>
              </w:rPr>
            </w:pPr>
            <w:r>
              <w:rPr>
                <w:sz w:val="18"/>
                <w:szCs w:val="18"/>
                <w:lang w:val="en-GB"/>
              </w:rPr>
              <w:t>Grip dom (kg)</w:t>
            </w:r>
          </w:p>
        </w:tc>
        <w:tc>
          <w:tcPr>
            <w:tcW w:w="1210" w:type="dxa"/>
          </w:tcPr>
          <w:p w14:paraId="4BFC96F3" w14:textId="77777777" w:rsidR="002838E0" w:rsidRPr="00471EF6" w:rsidRDefault="002838E0"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29,0</w:t>
            </w:r>
          </w:p>
        </w:tc>
        <w:tc>
          <w:tcPr>
            <w:tcW w:w="1210" w:type="dxa"/>
          </w:tcPr>
          <w:p w14:paraId="3437B947" w14:textId="77777777" w:rsidR="002838E0" w:rsidRPr="00471EF6" w:rsidRDefault="002838E0"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32,2</w:t>
            </w:r>
          </w:p>
        </w:tc>
        <w:tc>
          <w:tcPr>
            <w:tcW w:w="1210" w:type="dxa"/>
          </w:tcPr>
          <w:p w14:paraId="58CB99D4" w14:textId="77777777" w:rsidR="002838E0" w:rsidRPr="006C115D" w:rsidRDefault="002838E0" w:rsidP="00757204">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&lt;0,001</w:t>
            </w:r>
          </w:p>
        </w:tc>
        <w:tc>
          <w:tcPr>
            <w:tcW w:w="1210" w:type="dxa"/>
          </w:tcPr>
          <w:p w14:paraId="15D94D55" w14:textId="77777777" w:rsidR="002838E0" w:rsidRPr="00471EF6" w:rsidRDefault="002838E0"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34,0</w:t>
            </w:r>
          </w:p>
        </w:tc>
        <w:tc>
          <w:tcPr>
            <w:tcW w:w="1210" w:type="dxa"/>
          </w:tcPr>
          <w:p w14:paraId="4C787E42" w14:textId="77777777" w:rsidR="002838E0" w:rsidRPr="00471EF6" w:rsidRDefault="002838E0"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34,9</w:t>
            </w:r>
          </w:p>
        </w:tc>
        <w:tc>
          <w:tcPr>
            <w:tcW w:w="1211" w:type="dxa"/>
          </w:tcPr>
          <w:p w14:paraId="459095A6" w14:textId="77777777" w:rsidR="002838E0" w:rsidRPr="006C115D" w:rsidRDefault="002838E0" w:rsidP="00757204">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0,678</w:t>
            </w:r>
          </w:p>
        </w:tc>
      </w:tr>
      <w:tr w:rsidR="002838E0" w14:paraId="5A05E2DF" w14:textId="77777777" w:rsidTr="00865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902CAF4" w14:textId="1A68EDD9" w:rsidR="002838E0" w:rsidRPr="00471EF6" w:rsidRDefault="002838E0" w:rsidP="00757204">
            <w:pPr>
              <w:rPr>
                <w:sz w:val="18"/>
                <w:szCs w:val="18"/>
                <w:lang w:val="en-GB"/>
              </w:rPr>
            </w:pPr>
            <w:r>
              <w:rPr>
                <w:sz w:val="18"/>
                <w:szCs w:val="18"/>
                <w:lang w:val="en-GB"/>
              </w:rPr>
              <w:t>Grip n</w:t>
            </w:r>
            <w:r w:rsidR="00A7186F">
              <w:rPr>
                <w:sz w:val="18"/>
                <w:szCs w:val="18"/>
                <w:lang w:val="en-GB"/>
              </w:rPr>
              <w:t>on</w:t>
            </w:r>
            <w:r>
              <w:rPr>
                <w:sz w:val="18"/>
                <w:szCs w:val="18"/>
                <w:lang w:val="en-GB"/>
              </w:rPr>
              <w:t>-dom (kg)</w:t>
            </w:r>
          </w:p>
        </w:tc>
        <w:tc>
          <w:tcPr>
            <w:tcW w:w="1210" w:type="dxa"/>
          </w:tcPr>
          <w:p w14:paraId="1B30A6F1" w14:textId="77777777" w:rsidR="002838E0" w:rsidRPr="00471EF6" w:rsidRDefault="002838E0" w:rsidP="00757204">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25,5</w:t>
            </w:r>
          </w:p>
        </w:tc>
        <w:tc>
          <w:tcPr>
            <w:tcW w:w="1210" w:type="dxa"/>
          </w:tcPr>
          <w:p w14:paraId="34813D26" w14:textId="77777777" w:rsidR="002838E0" w:rsidRPr="00471EF6" w:rsidRDefault="002838E0" w:rsidP="00757204">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29,3</w:t>
            </w:r>
          </w:p>
        </w:tc>
        <w:tc>
          <w:tcPr>
            <w:tcW w:w="1210" w:type="dxa"/>
          </w:tcPr>
          <w:p w14:paraId="5D13AD39" w14:textId="77777777" w:rsidR="002838E0" w:rsidRPr="006C115D" w:rsidRDefault="002838E0" w:rsidP="00757204">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6C115D">
              <w:rPr>
                <w:i/>
                <w:sz w:val="18"/>
                <w:szCs w:val="18"/>
                <w:lang w:val="en-GB"/>
              </w:rPr>
              <w:t>&lt;0,001</w:t>
            </w:r>
          </w:p>
        </w:tc>
        <w:tc>
          <w:tcPr>
            <w:tcW w:w="1210" w:type="dxa"/>
          </w:tcPr>
          <w:p w14:paraId="56E95C6A" w14:textId="77777777" w:rsidR="002838E0" w:rsidRPr="00471EF6" w:rsidRDefault="002838E0" w:rsidP="00757204">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29,4</w:t>
            </w:r>
          </w:p>
        </w:tc>
        <w:tc>
          <w:tcPr>
            <w:tcW w:w="1210" w:type="dxa"/>
          </w:tcPr>
          <w:p w14:paraId="518B4040" w14:textId="77777777" w:rsidR="002838E0" w:rsidRPr="00471EF6" w:rsidRDefault="002838E0" w:rsidP="00757204">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30,9</w:t>
            </w:r>
          </w:p>
        </w:tc>
        <w:tc>
          <w:tcPr>
            <w:tcW w:w="1211" w:type="dxa"/>
          </w:tcPr>
          <w:p w14:paraId="662CA6BF" w14:textId="77777777" w:rsidR="002838E0" w:rsidRPr="006C115D" w:rsidRDefault="002838E0" w:rsidP="00757204">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6C115D">
              <w:rPr>
                <w:i/>
                <w:sz w:val="18"/>
                <w:szCs w:val="18"/>
                <w:lang w:val="en-GB"/>
              </w:rPr>
              <w:t>0,302</w:t>
            </w:r>
          </w:p>
        </w:tc>
      </w:tr>
      <w:tr w:rsidR="002838E0" w14:paraId="23EB1D34" w14:textId="77777777" w:rsidTr="00865FC5">
        <w:tc>
          <w:tcPr>
            <w:cnfStyle w:val="001000000000" w:firstRow="0" w:lastRow="0" w:firstColumn="1" w:lastColumn="0" w:oddVBand="0" w:evenVBand="0" w:oddHBand="0" w:evenHBand="0" w:firstRowFirstColumn="0" w:firstRowLastColumn="0" w:lastRowFirstColumn="0" w:lastRowLastColumn="0"/>
            <w:tcW w:w="1951" w:type="dxa"/>
          </w:tcPr>
          <w:p w14:paraId="2EDD7E06" w14:textId="77777777" w:rsidR="002838E0" w:rsidRPr="00471EF6" w:rsidRDefault="002838E0" w:rsidP="00757204">
            <w:pPr>
              <w:rPr>
                <w:sz w:val="18"/>
                <w:szCs w:val="18"/>
                <w:lang w:val="en-GB"/>
              </w:rPr>
            </w:pPr>
            <w:r>
              <w:rPr>
                <w:sz w:val="18"/>
                <w:szCs w:val="18"/>
                <w:lang w:val="en-GB"/>
              </w:rPr>
              <w:t>Length (cm)</w:t>
            </w:r>
          </w:p>
        </w:tc>
        <w:tc>
          <w:tcPr>
            <w:tcW w:w="1210" w:type="dxa"/>
          </w:tcPr>
          <w:p w14:paraId="02386D12" w14:textId="77777777" w:rsidR="002838E0" w:rsidRPr="00471EF6" w:rsidRDefault="002838E0"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165,6</w:t>
            </w:r>
          </w:p>
        </w:tc>
        <w:tc>
          <w:tcPr>
            <w:tcW w:w="1210" w:type="dxa"/>
          </w:tcPr>
          <w:p w14:paraId="49BD0A8E" w14:textId="77777777" w:rsidR="002838E0" w:rsidRPr="00471EF6" w:rsidRDefault="002838E0"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166,5</w:t>
            </w:r>
          </w:p>
        </w:tc>
        <w:tc>
          <w:tcPr>
            <w:tcW w:w="1210" w:type="dxa"/>
          </w:tcPr>
          <w:p w14:paraId="744ABA35" w14:textId="77777777" w:rsidR="002838E0" w:rsidRPr="006C115D" w:rsidRDefault="002838E0" w:rsidP="00757204">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&lt;0,001</w:t>
            </w:r>
          </w:p>
        </w:tc>
        <w:tc>
          <w:tcPr>
            <w:tcW w:w="1210" w:type="dxa"/>
          </w:tcPr>
          <w:p w14:paraId="71D6852D" w14:textId="77777777" w:rsidR="002838E0" w:rsidRPr="00471EF6" w:rsidRDefault="002838E0"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174,3</w:t>
            </w:r>
          </w:p>
        </w:tc>
        <w:tc>
          <w:tcPr>
            <w:tcW w:w="1210" w:type="dxa"/>
          </w:tcPr>
          <w:p w14:paraId="4DC00E5A" w14:textId="77777777" w:rsidR="002838E0" w:rsidRPr="00471EF6" w:rsidRDefault="002838E0"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175,1</w:t>
            </w:r>
          </w:p>
        </w:tc>
        <w:tc>
          <w:tcPr>
            <w:tcW w:w="1211" w:type="dxa"/>
          </w:tcPr>
          <w:p w14:paraId="5BF3680A" w14:textId="77777777" w:rsidR="002838E0" w:rsidRPr="006C115D" w:rsidRDefault="002838E0" w:rsidP="00757204">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0,055</w:t>
            </w:r>
          </w:p>
        </w:tc>
      </w:tr>
      <w:tr w:rsidR="002838E0" w14:paraId="468ABF0C" w14:textId="77777777" w:rsidTr="00865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DCC1801" w14:textId="77777777" w:rsidR="002838E0" w:rsidRPr="00471EF6" w:rsidRDefault="002838E0" w:rsidP="00757204">
            <w:pPr>
              <w:rPr>
                <w:sz w:val="18"/>
                <w:szCs w:val="18"/>
                <w:lang w:val="en-GB"/>
              </w:rPr>
            </w:pPr>
            <w:r>
              <w:rPr>
                <w:sz w:val="18"/>
                <w:szCs w:val="18"/>
                <w:lang w:val="en-GB"/>
              </w:rPr>
              <w:t>Weight (kg)</w:t>
            </w:r>
          </w:p>
        </w:tc>
        <w:tc>
          <w:tcPr>
            <w:tcW w:w="1210" w:type="dxa"/>
          </w:tcPr>
          <w:p w14:paraId="69C1961C" w14:textId="77777777" w:rsidR="002838E0" w:rsidRPr="00471EF6" w:rsidRDefault="002838E0" w:rsidP="00757204">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62,97</w:t>
            </w:r>
          </w:p>
        </w:tc>
        <w:tc>
          <w:tcPr>
            <w:tcW w:w="1210" w:type="dxa"/>
          </w:tcPr>
          <w:p w14:paraId="42A88F68" w14:textId="77777777" w:rsidR="002838E0" w:rsidRPr="00471EF6" w:rsidRDefault="002838E0" w:rsidP="00757204">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65,18</w:t>
            </w:r>
          </w:p>
        </w:tc>
        <w:tc>
          <w:tcPr>
            <w:tcW w:w="1210" w:type="dxa"/>
          </w:tcPr>
          <w:p w14:paraId="57925D73" w14:textId="77777777" w:rsidR="002838E0" w:rsidRPr="006C115D" w:rsidRDefault="002838E0" w:rsidP="00757204">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6C115D">
              <w:rPr>
                <w:i/>
                <w:sz w:val="18"/>
                <w:szCs w:val="18"/>
                <w:lang w:val="en-GB"/>
              </w:rPr>
              <w:t>0,007</w:t>
            </w:r>
          </w:p>
        </w:tc>
        <w:tc>
          <w:tcPr>
            <w:tcW w:w="1210" w:type="dxa"/>
          </w:tcPr>
          <w:p w14:paraId="2517E85C" w14:textId="77777777" w:rsidR="002838E0" w:rsidRPr="00471EF6" w:rsidRDefault="002838E0" w:rsidP="00757204">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70,67</w:t>
            </w:r>
          </w:p>
        </w:tc>
        <w:tc>
          <w:tcPr>
            <w:tcW w:w="1210" w:type="dxa"/>
          </w:tcPr>
          <w:p w14:paraId="2139D443" w14:textId="77777777" w:rsidR="002838E0" w:rsidRPr="00471EF6" w:rsidRDefault="002838E0" w:rsidP="00757204">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72,23</w:t>
            </w:r>
          </w:p>
        </w:tc>
        <w:tc>
          <w:tcPr>
            <w:tcW w:w="1211" w:type="dxa"/>
          </w:tcPr>
          <w:p w14:paraId="4290C2B7" w14:textId="77777777" w:rsidR="002838E0" w:rsidRPr="006C115D" w:rsidRDefault="002838E0" w:rsidP="00757204">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6C115D">
              <w:rPr>
                <w:i/>
                <w:sz w:val="18"/>
                <w:szCs w:val="18"/>
                <w:lang w:val="en-GB"/>
              </w:rPr>
              <w:t>0,457</w:t>
            </w:r>
          </w:p>
        </w:tc>
      </w:tr>
      <w:tr w:rsidR="002838E0" w14:paraId="6D175094" w14:textId="77777777" w:rsidTr="00865FC5">
        <w:tc>
          <w:tcPr>
            <w:cnfStyle w:val="001000000000" w:firstRow="0" w:lastRow="0" w:firstColumn="1" w:lastColumn="0" w:oddVBand="0" w:evenVBand="0" w:oddHBand="0" w:evenHBand="0" w:firstRowFirstColumn="0" w:firstRowLastColumn="0" w:lastRowFirstColumn="0" w:lastRowLastColumn="0"/>
            <w:tcW w:w="1951" w:type="dxa"/>
          </w:tcPr>
          <w:p w14:paraId="53CFFDA9" w14:textId="77777777" w:rsidR="002838E0" w:rsidRPr="00471EF6" w:rsidRDefault="002838E0" w:rsidP="00757204">
            <w:pPr>
              <w:rPr>
                <w:sz w:val="18"/>
                <w:szCs w:val="18"/>
                <w:lang w:val="en-GB"/>
              </w:rPr>
            </w:pPr>
            <w:r>
              <w:rPr>
                <w:sz w:val="18"/>
                <w:szCs w:val="18"/>
                <w:lang w:val="en-GB"/>
              </w:rPr>
              <w:t>Waist Circumf (cm)</w:t>
            </w:r>
          </w:p>
        </w:tc>
        <w:tc>
          <w:tcPr>
            <w:tcW w:w="1210" w:type="dxa"/>
          </w:tcPr>
          <w:p w14:paraId="6D430F1D" w14:textId="77777777" w:rsidR="002838E0" w:rsidRPr="00471EF6" w:rsidRDefault="002838E0"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75,33</w:t>
            </w:r>
          </w:p>
        </w:tc>
        <w:tc>
          <w:tcPr>
            <w:tcW w:w="1210" w:type="dxa"/>
          </w:tcPr>
          <w:p w14:paraId="40A7B9C1" w14:textId="77777777" w:rsidR="002838E0" w:rsidRPr="00471EF6" w:rsidRDefault="002838E0"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77,73</w:t>
            </w:r>
          </w:p>
        </w:tc>
        <w:tc>
          <w:tcPr>
            <w:tcW w:w="1210" w:type="dxa"/>
          </w:tcPr>
          <w:p w14:paraId="7D8E0271" w14:textId="77777777" w:rsidR="002838E0" w:rsidRPr="006C115D" w:rsidRDefault="002838E0" w:rsidP="00757204">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0,031</w:t>
            </w:r>
          </w:p>
        </w:tc>
        <w:tc>
          <w:tcPr>
            <w:tcW w:w="1210" w:type="dxa"/>
          </w:tcPr>
          <w:p w14:paraId="4C00A761" w14:textId="77777777" w:rsidR="002838E0" w:rsidRPr="00471EF6" w:rsidRDefault="002838E0"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82,71</w:t>
            </w:r>
          </w:p>
        </w:tc>
        <w:tc>
          <w:tcPr>
            <w:tcW w:w="1210" w:type="dxa"/>
          </w:tcPr>
          <w:p w14:paraId="502217AB" w14:textId="77777777" w:rsidR="002838E0" w:rsidRPr="00471EF6" w:rsidRDefault="002838E0"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76,54</w:t>
            </w:r>
          </w:p>
        </w:tc>
        <w:tc>
          <w:tcPr>
            <w:tcW w:w="1211" w:type="dxa"/>
          </w:tcPr>
          <w:p w14:paraId="46F2D662" w14:textId="77777777" w:rsidR="002838E0" w:rsidRPr="006C115D" w:rsidRDefault="002838E0" w:rsidP="00757204">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0,028</w:t>
            </w:r>
          </w:p>
        </w:tc>
      </w:tr>
      <w:tr w:rsidR="002838E0" w14:paraId="4F848DD3" w14:textId="77777777" w:rsidTr="00865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27B3BF2" w14:textId="77777777" w:rsidR="002838E0" w:rsidRPr="00471EF6" w:rsidRDefault="002838E0" w:rsidP="00757204">
            <w:pPr>
              <w:rPr>
                <w:sz w:val="18"/>
                <w:szCs w:val="18"/>
                <w:lang w:val="en-GB"/>
              </w:rPr>
            </w:pPr>
            <w:r>
              <w:rPr>
                <w:sz w:val="18"/>
                <w:szCs w:val="18"/>
                <w:lang w:val="en-GB"/>
              </w:rPr>
              <w:t>Hip Circumf (cm)</w:t>
            </w:r>
          </w:p>
        </w:tc>
        <w:tc>
          <w:tcPr>
            <w:tcW w:w="1210" w:type="dxa"/>
          </w:tcPr>
          <w:p w14:paraId="3CB78842" w14:textId="77777777" w:rsidR="002838E0" w:rsidRPr="00471EF6" w:rsidRDefault="002838E0" w:rsidP="00757204">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97,97</w:t>
            </w:r>
          </w:p>
        </w:tc>
        <w:tc>
          <w:tcPr>
            <w:tcW w:w="1210" w:type="dxa"/>
          </w:tcPr>
          <w:p w14:paraId="67F3218B" w14:textId="77777777" w:rsidR="002838E0" w:rsidRPr="00471EF6" w:rsidRDefault="002838E0" w:rsidP="00757204">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100,51</w:t>
            </w:r>
          </w:p>
        </w:tc>
        <w:tc>
          <w:tcPr>
            <w:tcW w:w="1210" w:type="dxa"/>
          </w:tcPr>
          <w:p w14:paraId="755ABBF7" w14:textId="77777777" w:rsidR="002838E0" w:rsidRPr="006C115D" w:rsidRDefault="002838E0" w:rsidP="00757204">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6C115D">
              <w:rPr>
                <w:i/>
                <w:sz w:val="18"/>
                <w:szCs w:val="18"/>
                <w:lang w:val="en-GB"/>
              </w:rPr>
              <w:t>0,045</w:t>
            </w:r>
          </w:p>
        </w:tc>
        <w:tc>
          <w:tcPr>
            <w:tcW w:w="1210" w:type="dxa"/>
          </w:tcPr>
          <w:p w14:paraId="34E9F734" w14:textId="77777777" w:rsidR="002838E0" w:rsidRPr="00471EF6" w:rsidRDefault="002838E0" w:rsidP="00757204">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94,40</w:t>
            </w:r>
          </w:p>
        </w:tc>
        <w:tc>
          <w:tcPr>
            <w:tcW w:w="1210" w:type="dxa"/>
          </w:tcPr>
          <w:p w14:paraId="0EBD6521" w14:textId="77777777" w:rsidR="002838E0" w:rsidRPr="00471EF6" w:rsidRDefault="002838E0" w:rsidP="00757204">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94,71</w:t>
            </w:r>
          </w:p>
        </w:tc>
        <w:tc>
          <w:tcPr>
            <w:tcW w:w="1211" w:type="dxa"/>
          </w:tcPr>
          <w:p w14:paraId="12DD514C" w14:textId="77777777" w:rsidR="002838E0" w:rsidRPr="006C115D" w:rsidRDefault="002838E0" w:rsidP="00757204">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6C115D">
              <w:rPr>
                <w:i/>
                <w:sz w:val="18"/>
                <w:szCs w:val="18"/>
                <w:lang w:val="en-GB"/>
              </w:rPr>
              <w:t>0,903</w:t>
            </w:r>
          </w:p>
        </w:tc>
      </w:tr>
      <w:tr w:rsidR="002838E0" w:rsidRPr="00CA7D86" w14:paraId="37F3682E" w14:textId="77777777" w:rsidTr="00865FC5">
        <w:tc>
          <w:tcPr>
            <w:cnfStyle w:val="001000000000" w:firstRow="0" w:lastRow="0" w:firstColumn="1" w:lastColumn="0" w:oddVBand="0" w:evenVBand="0" w:oddHBand="0" w:evenHBand="0" w:firstRowFirstColumn="0" w:firstRowLastColumn="0" w:lastRowFirstColumn="0" w:lastRowLastColumn="0"/>
            <w:tcW w:w="1951" w:type="dxa"/>
          </w:tcPr>
          <w:p w14:paraId="2B41C0DA" w14:textId="10FEB7B8" w:rsidR="002838E0" w:rsidRPr="00471EF6" w:rsidRDefault="002838E0" w:rsidP="002F1714">
            <w:pPr>
              <w:rPr>
                <w:sz w:val="18"/>
                <w:szCs w:val="18"/>
                <w:lang w:val="en-GB"/>
              </w:rPr>
            </w:pPr>
            <w:r>
              <w:rPr>
                <w:sz w:val="18"/>
                <w:szCs w:val="18"/>
                <w:lang w:val="en-GB"/>
              </w:rPr>
              <w:t xml:space="preserve">W/H ratio </w:t>
            </w:r>
          </w:p>
        </w:tc>
        <w:tc>
          <w:tcPr>
            <w:tcW w:w="1210" w:type="dxa"/>
          </w:tcPr>
          <w:p w14:paraId="149045F0" w14:textId="77777777" w:rsidR="002838E0" w:rsidRPr="00471EF6" w:rsidRDefault="002838E0"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0,776</w:t>
            </w:r>
          </w:p>
        </w:tc>
        <w:tc>
          <w:tcPr>
            <w:tcW w:w="1210" w:type="dxa"/>
          </w:tcPr>
          <w:p w14:paraId="7E5CE5A9" w14:textId="55A0E28C" w:rsidR="002838E0" w:rsidRPr="003E280F" w:rsidRDefault="002838E0" w:rsidP="00F71BD5">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0,773</w:t>
            </w:r>
          </w:p>
        </w:tc>
        <w:tc>
          <w:tcPr>
            <w:tcW w:w="1210" w:type="dxa"/>
          </w:tcPr>
          <w:p w14:paraId="58165CA1" w14:textId="77777777" w:rsidR="002838E0" w:rsidRPr="006C115D" w:rsidRDefault="002838E0" w:rsidP="00757204">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0,485</w:t>
            </w:r>
          </w:p>
        </w:tc>
        <w:tc>
          <w:tcPr>
            <w:tcW w:w="1210" w:type="dxa"/>
          </w:tcPr>
          <w:p w14:paraId="6CEC5F48" w14:textId="77777777" w:rsidR="002838E0" w:rsidRPr="00471EF6" w:rsidRDefault="002838E0"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0,878</w:t>
            </w:r>
          </w:p>
        </w:tc>
        <w:tc>
          <w:tcPr>
            <w:tcW w:w="1210" w:type="dxa"/>
          </w:tcPr>
          <w:p w14:paraId="43104258" w14:textId="77777777" w:rsidR="002838E0" w:rsidRPr="00471EF6" w:rsidRDefault="002838E0"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0,805</w:t>
            </w:r>
          </w:p>
        </w:tc>
        <w:tc>
          <w:tcPr>
            <w:tcW w:w="1211" w:type="dxa"/>
          </w:tcPr>
          <w:p w14:paraId="61CE071A" w14:textId="77777777" w:rsidR="002838E0" w:rsidRPr="006C115D" w:rsidRDefault="002838E0" w:rsidP="00757204">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0,005</w:t>
            </w:r>
          </w:p>
        </w:tc>
      </w:tr>
    </w:tbl>
    <w:p w14:paraId="0FF09098" w14:textId="05540286" w:rsidR="002838E0" w:rsidRDefault="00F35B32" w:rsidP="005D737E">
      <w:pPr>
        <w:spacing w:after="0" w:line="240" w:lineRule="auto"/>
        <w:jc w:val="both"/>
        <w:rPr>
          <w:sz w:val="18"/>
          <w:szCs w:val="18"/>
          <w:lang w:val="en-US"/>
        </w:rPr>
      </w:pPr>
      <w:r>
        <w:rPr>
          <w:sz w:val="18"/>
          <w:szCs w:val="18"/>
          <w:lang w:val="en-US"/>
        </w:rPr>
        <w:t>Mean before L/CA: baseline; Mean before CSH: mean levels before start CSH; P (L/CA): results of statistical tests;</w:t>
      </w:r>
      <w:r w:rsidRPr="00EC7944">
        <w:rPr>
          <w:sz w:val="18"/>
          <w:szCs w:val="18"/>
          <w:lang w:val="en-GB"/>
        </w:rPr>
        <w:t xml:space="preserve"> </w:t>
      </w:r>
      <w:r w:rsidR="00EC7944" w:rsidRPr="00EC7944">
        <w:rPr>
          <w:sz w:val="18"/>
          <w:szCs w:val="18"/>
          <w:lang w:val="en-GB"/>
        </w:rPr>
        <w:t>Grip dom: grip strength of th</w:t>
      </w:r>
      <w:r w:rsidR="00EC7944">
        <w:rPr>
          <w:sz w:val="18"/>
          <w:szCs w:val="18"/>
          <w:lang w:val="en-GB"/>
        </w:rPr>
        <w:t>e dominant hand (expressed in kilograms); Grip n</w:t>
      </w:r>
      <w:r w:rsidR="00E634E6">
        <w:rPr>
          <w:sz w:val="18"/>
          <w:szCs w:val="18"/>
          <w:lang w:val="en-GB"/>
        </w:rPr>
        <w:t>on</w:t>
      </w:r>
      <w:r w:rsidR="00EC7944">
        <w:rPr>
          <w:sz w:val="18"/>
          <w:szCs w:val="18"/>
          <w:lang w:val="en-GB"/>
        </w:rPr>
        <w:t>-dom: grip strength of the non-dominant hand (expressed in kilograms); circumf: circumferen</w:t>
      </w:r>
      <w:r>
        <w:rPr>
          <w:sz w:val="18"/>
          <w:szCs w:val="18"/>
          <w:lang w:val="en-GB"/>
        </w:rPr>
        <w:t xml:space="preserve">ce; W/H ratio: waist/hip ratio; </w:t>
      </w:r>
      <w:r w:rsidR="00EC7944">
        <w:rPr>
          <w:sz w:val="18"/>
          <w:szCs w:val="18"/>
          <w:lang w:val="en-US"/>
        </w:rPr>
        <w:t>L: lynestrenol; CA: cyproterone acetate.</w:t>
      </w:r>
    </w:p>
    <w:p w14:paraId="33E9D53C" w14:textId="20D6CE51" w:rsidR="00667FEA" w:rsidRDefault="00004609" w:rsidP="005D737E">
      <w:pPr>
        <w:spacing w:after="0" w:line="240" w:lineRule="auto"/>
        <w:jc w:val="both"/>
        <w:rPr>
          <w:sz w:val="18"/>
          <w:szCs w:val="18"/>
          <w:lang w:val="en-GB"/>
        </w:rPr>
      </w:pPr>
      <w:r>
        <w:rPr>
          <w:rFonts w:ascii="Times New Roman" w:hAnsi="Times New Roman" w:cs="Times New Roman"/>
          <w:noProof/>
          <w:sz w:val="24"/>
          <w:szCs w:val="24"/>
        </w:rPr>
        <w:lastRenderedPageBreak/>
        <w:drawing>
          <wp:inline distT="0" distB="0" distL="0" distR="0" wp14:anchorId="2C7B8556" wp14:editId="56369E0B">
            <wp:extent cx="2593940" cy="2412000"/>
            <wp:effectExtent l="0" t="0" r="0"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4319" t="4231" r="12792" b="6538"/>
                    <a:stretch/>
                  </pic:blipFill>
                  <pic:spPr bwMode="auto">
                    <a:xfrm>
                      <a:off x="0" y="0"/>
                      <a:ext cx="2593940" cy="2412000"/>
                    </a:xfrm>
                    <a:prstGeom prst="rect">
                      <a:avLst/>
                    </a:prstGeom>
                    <a:noFill/>
                    <a:ln>
                      <a:noFill/>
                    </a:ln>
                    <a:extLst>
                      <a:ext uri="{53640926-AAD7-44D8-BBD7-CCE9431645EC}">
                        <a14:shadowObscured xmlns:a14="http://schemas.microsoft.com/office/drawing/2010/main"/>
                      </a:ext>
                    </a:extLst>
                  </pic:spPr>
                </pic:pic>
              </a:graphicData>
            </a:graphic>
          </wp:inline>
        </w:drawing>
      </w:r>
      <w:r w:rsidR="00D17C61">
        <w:rPr>
          <w:rFonts w:ascii="Times New Roman" w:hAnsi="Times New Roman" w:cs="Times New Roman"/>
          <w:noProof/>
          <w:sz w:val="24"/>
          <w:szCs w:val="24"/>
        </w:rPr>
        <w:drawing>
          <wp:inline distT="0" distB="0" distL="0" distR="0" wp14:anchorId="6A205D67" wp14:editId="03F89FE1">
            <wp:extent cx="2922905" cy="24765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l="4839" t="3218" r="1099" b="3802"/>
                    <a:stretch/>
                  </pic:blipFill>
                  <pic:spPr bwMode="auto">
                    <a:xfrm>
                      <a:off x="0" y="0"/>
                      <a:ext cx="2923444" cy="2476957"/>
                    </a:xfrm>
                    <a:prstGeom prst="rect">
                      <a:avLst/>
                    </a:prstGeom>
                    <a:noFill/>
                    <a:ln>
                      <a:noFill/>
                    </a:ln>
                    <a:extLst>
                      <a:ext uri="{53640926-AAD7-44D8-BBD7-CCE9431645EC}">
                        <a14:shadowObscured xmlns:a14="http://schemas.microsoft.com/office/drawing/2010/main"/>
                      </a:ext>
                    </a:extLst>
                  </pic:spPr>
                </pic:pic>
              </a:graphicData>
            </a:graphic>
          </wp:inline>
        </w:drawing>
      </w:r>
    </w:p>
    <w:p w14:paraId="051B4684" w14:textId="0836E8FF" w:rsidR="00667FEA" w:rsidRPr="00667FEA" w:rsidRDefault="00624AB0" w:rsidP="005D737E">
      <w:pPr>
        <w:spacing w:after="0" w:line="240" w:lineRule="auto"/>
        <w:jc w:val="both"/>
        <w:rPr>
          <w:sz w:val="18"/>
          <w:szCs w:val="18"/>
          <w:lang w:val="en-GB"/>
        </w:rPr>
      </w:pPr>
      <w:r>
        <w:rPr>
          <w:b/>
          <w:sz w:val="18"/>
          <w:szCs w:val="18"/>
          <w:lang w:val="en-GB"/>
        </w:rPr>
        <w:t>Figure 7</w:t>
      </w:r>
      <w:r w:rsidR="00667FEA">
        <w:rPr>
          <w:b/>
          <w:sz w:val="18"/>
          <w:szCs w:val="18"/>
          <w:lang w:val="en-GB"/>
        </w:rPr>
        <w:t xml:space="preserve">. </w:t>
      </w:r>
      <w:r w:rsidR="00667FEA">
        <w:rPr>
          <w:sz w:val="18"/>
          <w:szCs w:val="18"/>
          <w:lang w:val="en-GB"/>
        </w:rPr>
        <w:t>Bar plots of evolution of wai</w:t>
      </w:r>
      <w:r w:rsidR="002F1714">
        <w:rPr>
          <w:sz w:val="18"/>
          <w:szCs w:val="18"/>
          <w:lang w:val="en-GB"/>
        </w:rPr>
        <w:t>s</w:t>
      </w:r>
      <w:r w:rsidR="00667FEA">
        <w:rPr>
          <w:sz w:val="18"/>
          <w:szCs w:val="18"/>
          <w:lang w:val="en-GB"/>
        </w:rPr>
        <w:t xml:space="preserve">t/hip ratio (left) and grip strength (right). </w:t>
      </w:r>
      <w:r w:rsidR="009449A9">
        <w:rPr>
          <w:sz w:val="18"/>
          <w:szCs w:val="18"/>
          <w:lang w:val="en-GB"/>
        </w:rPr>
        <w:t>B</w:t>
      </w:r>
      <w:r w:rsidR="00667FEA">
        <w:rPr>
          <w:sz w:val="18"/>
          <w:szCs w:val="18"/>
          <w:lang w:val="en-GB"/>
        </w:rPr>
        <w:t>aseline</w:t>
      </w:r>
      <w:r w:rsidR="009449A9">
        <w:rPr>
          <w:sz w:val="18"/>
          <w:szCs w:val="18"/>
          <w:lang w:val="en-GB"/>
        </w:rPr>
        <w:t>: before initiation of progestin</w:t>
      </w:r>
      <w:r w:rsidR="00667FEA">
        <w:rPr>
          <w:sz w:val="18"/>
          <w:szCs w:val="18"/>
          <w:lang w:val="en-GB"/>
        </w:rPr>
        <w:t xml:space="preserve">; </w:t>
      </w:r>
      <w:r w:rsidR="009449A9">
        <w:rPr>
          <w:sz w:val="18"/>
          <w:szCs w:val="18"/>
          <w:lang w:val="en-GB"/>
        </w:rPr>
        <w:t>L/CA</w:t>
      </w:r>
      <w:r w:rsidR="00667FEA">
        <w:rPr>
          <w:sz w:val="18"/>
          <w:szCs w:val="18"/>
          <w:lang w:val="en-GB"/>
        </w:rPr>
        <w:t xml:space="preserve">: before start of CSH; dominant: grip strength of the dominant hand; non dominant: grip strength of the non-dominant hand. </w:t>
      </w:r>
    </w:p>
    <w:p w14:paraId="4A12B7EE" w14:textId="0CD822B7" w:rsidR="00C90A2C" w:rsidRPr="00DC3118" w:rsidRDefault="00C90A2C" w:rsidP="00C942CA">
      <w:pPr>
        <w:pStyle w:val="Kop3"/>
        <w:rPr>
          <w:lang w:val="en-GB"/>
        </w:rPr>
      </w:pPr>
      <w:bookmarkStart w:id="52" w:name="_Toc451961508"/>
      <w:r w:rsidRPr="004C48A5">
        <w:rPr>
          <w:lang w:val="en-GB"/>
        </w:rPr>
        <w:t xml:space="preserve">Body composition (Table </w:t>
      </w:r>
      <w:r w:rsidR="004C48A5">
        <w:rPr>
          <w:lang w:val="en-GB"/>
        </w:rPr>
        <w:t>1</w:t>
      </w:r>
      <w:r w:rsidR="00A44497">
        <w:rPr>
          <w:lang w:val="en-GB"/>
        </w:rPr>
        <w:t>2</w:t>
      </w:r>
      <w:r w:rsidRPr="004C48A5">
        <w:rPr>
          <w:lang w:val="en-GB"/>
        </w:rPr>
        <w:t>)</w:t>
      </w:r>
      <w:bookmarkEnd w:id="52"/>
    </w:p>
    <w:p w14:paraId="4B26FF86" w14:textId="0386FD59" w:rsidR="00C90A2C" w:rsidRDefault="004C48A5" w:rsidP="005D737E">
      <w:pPr>
        <w:spacing w:after="0" w:line="360" w:lineRule="auto"/>
        <w:jc w:val="both"/>
        <w:rPr>
          <w:lang w:val="en-GB"/>
        </w:rPr>
      </w:pPr>
      <w:r>
        <w:rPr>
          <w:lang w:val="en-GB"/>
        </w:rPr>
        <w:t xml:space="preserve">Lean mass significantly increased </w:t>
      </w:r>
      <w:r w:rsidR="00B27B0F">
        <w:rPr>
          <w:lang w:val="en-GB"/>
        </w:rPr>
        <w:t xml:space="preserve">and fat mass remained constant </w:t>
      </w:r>
      <w:r>
        <w:rPr>
          <w:lang w:val="en-GB"/>
        </w:rPr>
        <w:t xml:space="preserve">in </w:t>
      </w:r>
      <w:r w:rsidR="00C90A2C" w:rsidRPr="002E7F26">
        <w:rPr>
          <w:i/>
          <w:lang w:val="en-GB"/>
        </w:rPr>
        <w:t>FtM</w:t>
      </w:r>
      <w:r w:rsidR="00C90A2C">
        <w:rPr>
          <w:lang w:val="en-GB"/>
        </w:rPr>
        <w:t xml:space="preserve"> </w:t>
      </w:r>
      <w:r w:rsidR="002E7F26">
        <w:rPr>
          <w:lang w:val="en-GB"/>
        </w:rPr>
        <w:t>trans</w:t>
      </w:r>
      <w:r w:rsidR="001A6EAE">
        <w:rPr>
          <w:lang w:val="en-GB"/>
        </w:rPr>
        <w:t>gender</w:t>
      </w:r>
      <w:r w:rsidR="002E7F26">
        <w:rPr>
          <w:lang w:val="en-GB"/>
        </w:rPr>
        <w:t xml:space="preserve"> </w:t>
      </w:r>
      <w:r w:rsidR="00F71BD5">
        <w:rPr>
          <w:lang w:val="en-GB"/>
        </w:rPr>
        <w:t>adolescents</w:t>
      </w:r>
      <w:r w:rsidR="00C90A2C">
        <w:rPr>
          <w:lang w:val="en-GB"/>
        </w:rPr>
        <w:t xml:space="preserve">, </w:t>
      </w:r>
      <w:r w:rsidR="00A7186F">
        <w:rPr>
          <w:lang w:val="en-GB"/>
        </w:rPr>
        <w:t>leading</w:t>
      </w:r>
      <w:r w:rsidR="00C90A2C">
        <w:rPr>
          <w:lang w:val="en-GB"/>
        </w:rPr>
        <w:t xml:space="preserve"> to an increased total body mass and sligh</w:t>
      </w:r>
      <w:r>
        <w:rPr>
          <w:lang w:val="en-GB"/>
        </w:rPr>
        <w:t>tly decreased bod</w:t>
      </w:r>
      <w:r w:rsidR="00C90A2C">
        <w:rPr>
          <w:lang w:val="en-GB"/>
        </w:rPr>
        <w:t>y fat</w:t>
      </w:r>
      <w:r w:rsidRPr="004C48A5">
        <w:rPr>
          <w:lang w:val="en-GB"/>
        </w:rPr>
        <w:t xml:space="preserve"> </w:t>
      </w:r>
      <w:r>
        <w:rPr>
          <w:lang w:val="en-GB"/>
        </w:rPr>
        <w:t>percentage</w:t>
      </w:r>
      <w:r w:rsidR="00A7186F">
        <w:rPr>
          <w:lang w:val="en-GB"/>
        </w:rPr>
        <w:t>. This is</w:t>
      </w:r>
      <w:r w:rsidR="002E7F26">
        <w:rPr>
          <w:lang w:val="en-GB"/>
        </w:rPr>
        <w:t xml:space="preserve"> </w:t>
      </w:r>
      <w:r w:rsidR="00372BCE">
        <w:rPr>
          <w:lang w:val="en-GB"/>
        </w:rPr>
        <w:t xml:space="preserve">significantly different </w:t>
      </w:r>
      <w:r w:rsidR="00A7186F">
        <w:rPr>
          <w:lang w:val="en-GB"/>
        </w:rPr>
        <w:t xml:space="preserve">from </w:t>
      </w:r>
      <w:r w:rsidR="00372BCE">
        <w:rPr>
          <w:lang w:val="en-GB"/>
        </w:rPr>
        <w:t>their age-matched female peers</w:t>
      </w:r>
      <w:r w:rsidR="00A7186F">
        <w:rPr>
          <w:lang w:val="en-GB"/>
        </w:rPr>
        <w:t>, as calculated from population-based</w:t>
      </w:r>
      <w:r w:rsidR="005D737E">
        <w:rPr>
          <w:lang w:val="en-GB"/>
        </w:rPr>
        <w:t xml:space="preserve"> </w:t>
      </w:r>
      <w:r w:rsidR="00372BCE">
        <w:rPr>
          <w:lang w:val="en-GB"/>
        </w:rPr>
        <w:t>Z-scores</w:t>
      </w:r>
      <w:r w:rsidR="00C90A2C">
        <w:rPr>
          <w:lang w:val="en-GB"/>
        </w:rPr>
        <w:t xml:space="preserve">. </w:t>
      </w:r>
      <w:r w:rsidR="00A7186F">
        <w:rPr>
          <w:lang w:val="en-GB"/>
        </w:rPr>
        <w:t>M</w:t>
      </w:r>
      <w:r w:rsidR="00C90A2C">
        <w:rPr>
          <w:lang w:val="en-GB"/>
        </w:rPr>
        <w:t xml:space="preserve">uscle area significantly </w:t>
      </w:r>
      <w:r w:rsidR="00A7186F">
        <w:rPr>
          <w:lang w:val="en-GB"/>
        </w:rPr>
        <w:t xml:space="preserve">increased </w:t>
      </w:r>
      <w:r w:rsidR="00C90A2C">
        <w:rPr>
          <w:lang w:val="en-GB"/>
        </w:rPr>
        <w:t>at the</w:t>
      </w:r>
      <w:r w:rsidR="00F71BD5">
        <w:rPr>
          <w:lang w:val="en-GB"/>
        </w:rPr>
        <w:t xml:space="preserve"> non-dominant</w:t>
      </w:r>
      <w:r w:rsidR="00C90A2C">
        <w:rPr>
          <w:lang w:val="en-GB"/>
        </w:rPr>
        <w:t xml:space="preserve"> forearm and </w:t>
      </w:r>
      <w:r w:rsidR="00F71BD5">
        <w:rPr>
          <w:lang w:val="en-GB"/>
        </w:rPr>
        <w:t xml:space="preserve">left </w:t>
      </w:r>
      <w:r w:rsidR="00C90A2C">
        <w:rPr>
          <w:lang w:val="en-GB"/>
        </w:rPr>
        <w:t xml:space="preserve">lower leg (radius 66%, tibia 38%), this increase was significantly higher than </w:t>
      </w:r>
      <w:r w:rsidR="00A7186F">
        <w:rPr>
          <w:lang w:val="en-GB"/>
        </w:rPr>
        <w:t xml:space="preserve">what was observed in </w:t>
      </w:r>
      <w:r w:rsidR="00C90A2C">
        <w:rPr>
          <w:lang w:val="en-GB"/>
        </w:rPr>
        <w:t xml:space="preserve">age-matched peers of the same natal sex, based on Z-scores. Fat area and muscle density </w:t>
      </w:r>
      <w:r w:rsidR="001F4F73">
        <w:rPr>
          <w:lang w:val="en-GB"/>
        </w:rPr>
        <w:t xml:space="preserve">at the forearm and lower leg </w:t>
      </w:r>
      <w:r w:rsidR="00C90A2C">
        <w:rPr>
          <w:lang w:val="en-GB"/>
        </w:rPr>
        <w:t>remained constant.</w:t>
      </w:r>
    </w:p>
    <w:p w14:paraId="3376059C" w14:textId="77777777" w:rsidR="003F1A80" w:rsidRDefault="00C90A2C" w:rsidP="003F1A80">
      <w:pPr>
        <w:spacing w:after="0" w:line="360" w:lineRule="auto"/>
        <w:jc w:val="both"/>
        <w:rPr>
          <w:rFonts w:ascii="Times New Roman" w:hAnsi="Times New Roman" w:cs="Times New Roman"/>
          <w:noProof/>
          <w:sz w:val="24"/>
          <w:szCs w:val="24"/>
          <w:lang w:val="en-US"/>
        </w:rPr>
      </w:pPr>
      <w:r w:rsidRPr="002E7F26">
        <w:rPr>
          <w:i/>
          <w:lang w:val="en-GB"/>
        </w:rPr>
        <w:t>MtF</w:t>
      </w:r>
      <w:r>
        <w:rPr>
          <w:lang w:val="en-GB"/>
        </w:rPr>
        <w:t xml:space="preserve"> </w:t>
      </w:r>
      <w:r w:rsidR="002E7F26">
        <w:rPr>
          <w:lang w:val="en-GB"/>
        </w:rPr>
        <w:t>trans</w:t>
      </w:r>
      <w:r w:rsidR="001A6EAE">
        <w:rPr>
          <w:lang w:val="en-GB"/>
        </w:rPr>
        <w:t>gender</w:t>
      </w:r>
      <w:r w:rsidR="002E7F26">
        <w:rPr>
          <w:lang w:val="en-GB"/>
        </w:rPr>
        <w:t xml:space="preserve"> </w:t>
      </w:r>
      <w:r>
        <w:rPr>
          <w:lang w:val="en-GB"/>
        </w:rPr>
        <w:t xml:space="preserve">adolescents </w:t>
      </w:r>
      <w:r w:rsidR="001F4F73">
        <w:rPr>
          <w:lang w:val="en-GB"/>
        </w:rPr>
        <w:t xml:space="preserve">treated with CA </w:t>
      </w:r>
      <w:r>
        <w:rPr>
          <w:lang w:val="en-GB"/>
        </w:rPr>
        <w:t xml:space="preserve">showed an increase in fat mass and </w:t>
      </w:r>
      <w:r w:rsidR="001F4F73">
        <w:rPr>
          <w:lang w:val="en-GB"/>
        </w:rPr>
        <w:t xml:space="preserve">a </w:t>
      </w:r>
      <w:r>
        <w:rPr>
          <w:lang w:val="en-GB"/>
        </w:rPr>
        <w:t xml:space="preserve">decrease in lean mass. </w:t>
      </w:r>
      <w:r w:rsidR="00773AF0">
        <w:rPr>
          <w:lang w:val="en-GB"/>
        </w:rPr>
        <w:t>This le</w:t>
      </w:r>
      <w:r w:rsidR="00A0415B">
        <w:rPr>
          <w:lang w:val="en-GB"/>
        </w:rPr>
        <w:t>d to a stable total</w:t>
      </w:r>
      <w:r>
        <w:rPr>
          <w:lang w:val="en-GB"/>
        </w:rPr>
        <w:t xml:space="preserve"> body </w:t>
      </w:r>
      <w:r w:rsidR="00A0415B">
        <w:rPr>
          <w:lang w:val="en-GB"/>
        </w:rPr>
        <w:t>weight</w:t>
      </w:r>
      <w:r>
        <w:rPr>
          <w:lang w:val="en-GB"/>
        </w:rPr>
        <w:t xml:space="preserve">. </w:t>
      </w:r>
      <w:r w:rsidR="00A0415B">
        <w:rPr>
          <w:lang w:val="en-GB"/>
        </w:rPr>
        <w:t xml:space="preserve">However, </w:t>
      </w:r>
      <w:r w:rsidR="00B27B0F">
        <w:rPr>
          <w:lang w:val="en-GB"/>
        </w:rPr>
        <w:t xml:space="preserve">the </w:t>
      </w:r>
      <w:r>
        <w:rPr>
          <w:lang w:val="en-GB"/>
        </w:rPr>
        <w:t xml:space="preserve">percentage </w:t>
      </w:r>
      <w:r w:rsidR="00DC097A">
        <w:rPr>
          <w:lang w:val="en-GB"/>
        </w:rPr>
        <w:t xml:space="preserve">of body fat </w:t>
      </w:r>
      <w:r>
        <w:rPr>
          <w:lang w:val="en-GB"/>
        </w:rPr>
        <w:t xml:space="preserve">significantly increased. </w:t>
      </w:r>
      <w:r w:rsidR="00372BCE">
        <w:rPr>
          <w:lang w:val="en-GB"/>
        </w:rPr>
        <w:t xml:space="preserve">This increase was significantly </w:t>
      </w:r>
      <w:r w:rsidR="001F4F73">
        <w:rPr>
          <w:lang w:val="en-GB"/>
        </w:rPr>
        <w:t xml:space="preserve">greater </w:t>
      </w:r>
      <w:r w:rsidR="00372BCE">
        <w:rPr>
          <w:lang w:val="en-GB"/>
        </w:rPr>
        <w:t xml:space="preserve">than </w:t>
      </w:r>
      <w:r w:rsidR="001F4F73">
        <w:rPr>
          <w:lang w:val="en-GB"/>
        </w:rPr>
        <w:t xml:space="preserve">what has been observed in </w:t>
      </w:r>
      <w:r w:rsidR="00372BCE">
        <w:rPr>
          <w:lang w:val="en-GB"/>
        </w:rPr>
        <w:t>their age-matched male peers</w:t>
      </w:r>
      <w:r w:rsidR="001F4F73">
        <w:rPr>
          <w:lang w:val="en-GB"/>
        </w:rPr>
        <w:t xml:space="preserve">, </w:t>
      </w:r>
      <w:r w:rsidR="00372BCE">
        <w:rPr>
          <w:lang w:val="en-GB"/>
        </w:rPr>
        <w:t xml:space="preserve">based on Z-scores. </w:t>
      </w:r>
      <w:r>
        <w:rPr>
          <w:lang w:val="en-GB"/>
        </w:rPr>
        <w:t xml:space="preserve">At the forearm and lower leg (radius 66%, tibia 38%), muscle area and density respectively significantly and non-significantly decreased, </w:t>
      </w:r>
      <w:r w:rsidR="001F4F73">
        <w:rPr>
          <w:lang w:val="en-GB"/>
        </w:rPr>
        <w:t>whereas</w:t>
      </w:r>
      <w:r>
        <w:rPr>
          <w:lang w:val="en-GB"/>
        </w:rPr>
        <w:t xml:space="preserve"> fat area significantly increased. Based on Z-scores these changes </w:t>
      </w:r>
      <w:r w:rsidR="001F4F73">
        <w:rPr>
          <w:lang w:val="en-GB"/>
        </w:rPr>
        <w:t xml:space="preserve">are </w:t>
      </w:r>
      <w:r>
        <w:rPr>
          <w:lang w:val="en-GB"/>
        </w:rPr>
        <w:t>significantly different from their age-matched peers of the same sex</w:t>
      </w:r>
      <w:r w:rsidR="00DC097A">
        <w:rPr>
          <w:lang w:val="en-GB"/>
        </w:rPr>
        <w:t>.</w:t>
      </w:r>
      <w:r w:rsidR="004B5617" w:rsidRPr="004B5617">
        <w:rPr>
          <w:rFonts w:ascii="Times New Roman" w:hAnsi="Times New Roman" w:cs="Times New Roman"/>
          <w:noProof/>
          <w:sz w:val="24"/>
          <w:szCs w:val="24"/>
          <w:lang w:val="en-US"/>
        </w:rPr>
        <w:t xml:space="preserve"> </w:t>
      </w:r>
    </w:p>
    <w:p w14:paraId="02FD67C1" w14:textId="5FAAB887" w:rsidR="00BF6DF3" w:rsidRDefault="004B5617" w:rsidP="003F1A80">
      <w:pPr>
        <w:spacing w:after="0" w:line="360" w:lineRule="auto"/>
        <w:jc w:val="both"/>
        <w:rPr>
          <w:b/>
          <w:sz w:val="18"/>
          <w:szCs w:val="18"/>
          <w:lang w:val="en-GB"/>
        </w:rPr>
      </w:pPr>
      <w:r>
        <w:rPr>
          <w:rFonts w:ascii="Times New Roman" w:hAnsi="Times New Roman" w:cs="Times New Roman"/>
          <w:noProof/>
          <w:sz w:val="24"/>
          <w:szCs w:val="24"/>
        </w:rPr>
        <w:drawing>
          <wp:anchor distT="0" distB="0" distL="114300" distR="114300" simplePos="0" relativeHeight="251659264" behindDoc="0" locked="0" layoutInCell="1" allowOverlap="1" wp14:anchorId="113A1653" wp14:editId="6E6C0318">
            <wp:simplePos x="0" y="0"/>
            <wp:positionH relativeFrom="column">
              <wp:posOffset>-4445</wp:posOffset>
            </wp:positionH>
            <wp:positionV relativeFrom="paragraph">
              <wp:posOffset>71120</wp:posOffset>
            </wp:positionV>
            <wp:extent cx="3148965" cy="2486025"/>
            <wp:effectExtent l="0" t="0" r="0" b="952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2470" b="5434"/>
                    <a:stretch/>
                  </pic:blipFill>
                  <pic:spPr bwMode="auto">
                    <a:xfrm>
                      <a:off x="0" y="0"/>
                      <a:ext cx="3148965" cy="24860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D7C7833" w14:textId="0CAA2D32" w:rsidR="00AD62E8" w:rsidRPr="00AD62E8" w:rsidRDefault="00624AB0">
      <w:pPr>
        <w:rPr>
          <w:b/>
          <w:sz w:val="18"/>
          <w:szCs w:val="18"/>
          <w:lang w:val="en-GB"/>
        </w:rPr>
      </w:pPr>
      <w:r>
        <w:rPr>
          <w:b/>
          <w:sz w:val="18"/>
          <w:szCs w:val="18"/>
          <w:lang w:val="en-GB"/>
        </w:rPr>
        <w:t>Figure 8</w:t>
      </w:r>
      <w:r w:rsidR="00AD62E8" w:rsidRPr="00AD62E8">
        <w:rPr>
          <w:b/>
          <w:sz w:val="18"/>
          <w:szCs w:val="18"/>
          <w:lang w:val="en-GB"/>
        </w:rPr>
        <w:t xml:space="preserve">. </w:t>
      </w:r>
      <w:r w:rsidR="00AD62E8" w:rsidRPr="00AD62E8">
        <w:rPr>
          <w:sz w:val="18"/>
          <w:szCs w:val="18"/>
          <w:lang w:val="en-GB"/>
        </w:rPr>
        <w:t>Bar plots of evolution in body composition.</w:t>
      </w:r>
      <w:r w:rsidR="00AD62E8">
        <w:rPr>
          <w:b/>
          <w:sz w:val="18"/>
          <w:szCs w:val="18"/>
          <w:lang w:val="en-GB"/>
        </w:rPr>
        <w:t xml:space="preserve"> </w:t>
      </w:r>
      <w:r w:rsidR="009449A9">
        <w:rPr>
          <w:sz w:val="18"/>
          <w:szCs w:val="18"/>
          <w:lang w:val="en-GB"/>
        </w:rPr>
        <w:t>Baseline: before initiation of progestin; L/CA: before start of CSH</w:t>
      </w:r>
      <w:r w:rsidR="00BF6DF3">
        <w:rPr>
          <w:sz w:val="18"/>
          <w:szCs w:val="18"/>
          <w:lang w:val="en-GB"/>
        </w:rPr>
        <w:t>.</w:t>
      </w:r>
      <w:r w:rsidR="00AD62E8" w:rsidRPr="00AD62E8">
        <w:rPr>
          <w:b/>
          <w:sz w:val="18"/>
          <w:szCs w:val="18"/>
          <w:lang w:val="en-GB"/>
        </w:rPr>
        <w:t xml:space="preserve"> </w:t>
      </w:r>
      <w:r w:rsidR="00AD62E8" w:rsidRPr="00AD62E8">
        <w:rPr>
          <w:b/>
          <w:sz w:val="18"/>
          <w:szCs w:val="18"/>
          <w:lang w:val="en-GB"/>
        </w:rPr>
        <w:br w:type="page"/>
      </w:r>
    </w:p>
    <w:p w14:paraId="57C050B6" w14:textId="230C87D5" w:rsidR="00C90A2C" w:rsidRPr="00C90A2C" w:rsidRDefault="00C90A2C" w:rsidP="00916C60">
      <w:pPr>
        <w:spacing w:before="120" w:after="0" w:line="240" w:lineRule="auto"/>
        <w:rPr>
          <w:lang w:val="en-GB"/>
        </w:rPr>
      </w:pPr>
      <w:r w:rsidRPr="00C90A2C">
        <w:rPr>
          <w:b/>
          <w:lang w:val="en-GB"/>
        </w:rPr>
        <w:lastRenderedPageBreak/>
        <w:t xml:space="preserve">Table </w:t>
      </w:r>
      <w:r w:rsidR="00A44497">
        <w:rPr>
          <w:b/>
          <w:lang w:val="en-GB"/>
        </w:rPr>
        <w:t>12</w:t>
      </w:r>
      <w:r w:rsidRPr="00C90A2C">
        <w:rPr>
          <w:b/>
          <w:lang w:val="en-GB"/>
        </w:rPr>
        <w:t>.</w:t>
      </w:r>
      <w:r>
        <w:rPr>
          <w:b/>
          <w:lang w:val="en-GB"/>
        </w:rPr>
        <w:t xml:space="preserve"> </w:t>
      </w:r>
      <w:r>
        <w:rPr>
          <w:lang w:val="en-GB"/>
        </w:rPr>
        <w:t>Summary of changes in body composition.</w:t>
      </w:r>
    </w:p>
    <w:tbl>
      <w:tblPr>
        <w:tblStyle w:val="Onopgemaaktetabel21"/>
        <w:tblW w:w="0" w:type="auto"/>
        <w:tblLook w:val="04A0" w:firstRow="1" w:lastRow="0" w:firstColumn="1" w:lastColumn="0" w:noHBand="0" w:noVBand="1"/>
      </w:tblPr>
      <w:tblGrid>
        <w:gridCol w:w="1951"/>
        <w:gridCol w:w="1210"/>
        <w:gridCol w:w="1210"/>
        <w:gridCol w:w="1210"/>
        <w:gridCol w:w="1210"/>
        <w:gridCol w:w="1210"/>
        <w:gridCol w:w="1211"/>
      </w:tblGrid>
      <w:tr w:rsidR="00C90A2C" w:rsidRPr="00AD62E8" w14:paraId="007BA403" w14:textId="77777777" w:rsidTr="00611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7"/>
            <w:shd w:val="clear" w:color="auto" w:fill="D9D9D9" w:themeFill="background1" w:themeFillShade="D9"/>
          </w:tcPr>
          <w:p w14:paraId="07E53DAC" w14:textId="69BF2BA2" w:rsidR="00C90A2C" w:rsidRPr="0052143C" w:rsidRDefault="00C90A2C" w:rsidP="00757204">
            <w:pPr>
              <w:jc w:val="center"/>
              <w:rPr>
                <w:b w:val="0"/>
                <w:sz w:val="18"/>
                <w:szCs w:val="18"/>
                <w:lang w:val="en-GB"/>
              </w:rPr>
            </w:pPr>
            <w:r w:rsidRPr="0052143C">
              <w:rPr>
                <w:sz w:val="18"/>
                <w:szCs w:val="18"/>
                <w:lang w:val="en-GB"/>
              </w:rPr>
              <w:t>Body composition</w:t>
            </w:r>
            <w:r w:rsidR="00C83354">
              <w:rPr>
                <w:sz w:val="18"/>
                <w:szCs w:val="18"/>
                <w:lang w:val="en-GB"/>
              </w:rPr>
              <w:t xml:space="preserve"> (DXA results)</w:t>
            </w:r>
          </w:p>
        </w:tc>
      </w:tr>
      <w:tr w:rsidR="0014195C" w:rsidRPr="007E1F7D" w14:paraId="202694EC" w14:textId="77777777" w:rsidTr="003C1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ABC45F5" w14:textId="7CDB61E1" w:rsidR="0014195C" w:rsidRPr="007E1F7D" w:rsidRDefault="0014195C" w:rsidP="003C1CD5">
            <w:pPr>
              <w:rPr>
                <w:b w:val="0"/>
                <w:sz w:val="18"/>
                <w:szCs w:val="18"/>
                <w:lang w:val="en-GB"/>
              </w:rPr>
            </w:pPr>
            <w:r>
              <w:rPr>
                <w:b w:val="0"/>
                <w:sz w:val="18"/>
                <w:szCs w:val="18"/>
                <w:lang w:val="en-GB"/>
              </w:rPr>
              <w:t>Location</w:t>
            </w:r>
          </w:p>
        </w:tc>
        <w:tc>
          <w:tcPr>
            <w:tcW w:w="1210" w:type="dxa"/>
          </w:tcPr>
          <w:p w14:paraId="63D4916F"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 L</w:t>
            </w:r>
            <w:r w:rsidRPr="007E1F7D">
              <w:rPr>
                <w:b/>
                <w:sz w:val="18"/>
                <w:szCs w:val="18"/>
                <w:lang w:val="en-GB"/>
              </w:rPr>
              <w:t xml:space="preserve"> </w:t>
            </w:r>
          </w:p>
        </w:tc>
        <w:tc>
          <w:tcPr>
            <w:tcW w:w="1210" w:type="dxa"/>
          </w:tcPr>
          <w:p w14:paraId="6CDC2976"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 xml:space="preserve">before </w:t>
            </w:r>
            <w:r w:rsidRPr="007E1F7D">
              <w:rPr>
                <w:b/>
                <w:sz w:val="18"/>
                <w:szCs w:val="18"/>
                <w:lang w:val="en-GB"/>
              </w:rPr>
              <w:t>C</w:t>
            </w:r>
            <w:r>
              <w:rPr>
                <w:b/>
                <w:sz w:val="18"/>
                <w:szCs w:val="18"/>
                <w:lang w:val="en-GB"/>
              </w:rPr>
              <w:t>SH</w:t>
            </w:r>
            <w:r w:rsidRPr="007E1F7D">
              <w:rPr>
                <w:b/>
                <w:sz w:val="18"/>
                <w:szCs w:val="18"/>
                <w:lang w:val="en-GB"/>
              </w:rPr>
              <w:t xml:space="preserve"> </w:t>
            </w:r>
          </w:p>
        </w:tc>
        <w:tc>
          <w:tcPr>
            <w:tcW w:w="1210" w:type="dxa"/>
          </w:tcPr>
          <w:p w14:paraId="552F8169"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P (L)</w:t>
            </w:r>
          </w:p>
        </w:tc>
        <w:tc>
          <w:tcPr>
            <w:tcW w:w="1210" w:type="dxa"/>
          </w:tcPr>
          <w:p w14:paraId="1A848891"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w:t>
            </w:r>
            <w:r w:rsidRPr="007E1F7D">
              <w:rPr>
                <w:b/>
                <w:sz w:val="18"/>
                <w:szCs w:val="18"/>
                <w:lang w:val="en-GB"/>
              </w:rPr>
              <w:t xml:space="preserve"> CA</w:t>
            </w:r>
          </w:p>
        </w:tc>
        <w:tc>
          <w:tcPr>
            <w:tcW w:w="1210" w:type="dxa"/>
          </w:tcPr>
          <w:p w14:paraId="6977D9F8"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 CSH</w:t>
            </w:r>
          </w:p>
        </w:tc>
        <w:tc>
          <w:tcPr>
            <w:tcW w:w="1211" w:type="dxa"/>
          </w:tcPr>
          <w:p w14:paraId="35F2013F"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P (CA)</w:t>
            </w:r>
          </w:p>
        </w:tc>
      </w:tr>
      <w:tr w:rsidR="00C90A2C" w14:paraId="4AFF6274" w14:textId="77777777" w:rsidTr="00611420">
        <w:tc>
          <w:tcPr>
            <w:cnfStyle w:val="001000000000" w:firstRow="0" w:lastRow="0" w:firstColumn="1" w:lastColumn="0" w:oddVBand="0" w:evenVBand="0" w:oddHBand="0" w:evenHBand="0" w:firstRowFirstColumn="0" w:firstRowLastColumn="0" w:lastRowFirstColumn="0" w:lastRowLastColumn="0"/>
            <w:tcW w:w="1951" w:type="dxa"/>
          </w:tcPr>
          <w:p w14:paraId="56067F96" w14:textId="257F52A1" w:rsidR="00C90A2C" w:rsidRPr="004957B7" w:rsidRDefault="00C90A2C" w:rsidP="00757204">
            <w:pPr>
              <w:rPr>
                <w:i/>
                <w:sz w:val="18"/>
                <w:szCs w:val="18"/>
                <w:lang w:val="en-GB"/>
              </w:rPr>
            </w:pPr>
            <w:r w:rsidRPr="004957B7">
              <w:rPr>
                <w:i/>
                <w:sz w:val="18"/>
                <w:szCs w:val="18"/>
                <w:lang w:val="en-GB"/>
              </w:rPr>
              <w:t xml:space="preserve">Subtotal fat </w:t>
            </w:r>
            <w:r w:rsidR="006F5FA0">
              <w:rPr>
                <w:i/>
                <w:sz w:val="18"/>
                <w:szCs w:val="18"/>
                <w:lang w:val="en-GB"/>
              </w:rPr>
              <w:t xml:space="preserve">mass </w:t>
            </w:r>
            <w:r w:rsidRPr="004957B7">
              <w:rPr>
                <w:i/>
                <w:sz w:val="18"/>
                <w:szCs w:val="18"/>
                <w:lang w:val="en-GB"/>
              </w:rPr>
              <w:t>(g)</w:t>
            </w:r>
          </w:p>
        </w:tc>
        <w:tc>
          <w:tcPr>
            <w:tcW w:w="1210" w:type="dxa"/>
          </w:tcPr>
          <w:p w14:paraId="52598844" w14:textId="77777777" w:rsidR="00C90A2C" w:rsidRPr="00471EF6" w:rsidRDefault="00C90A2C"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17487,24</w:t>
            </w:r>
          </w:p>
        </w:tc>
        <w:tc>
          <w:tcPr>
            <w:tcW w:w="1210" w:type="dxa"/>
          </w:tcPr>
          <w:p w14:paraId="4FCD6C53" w14:textId="77777777" w:rsidR="00C90A2C" w:rsidRPr="00471EF6" w:rsidRDefault="00C90A2C"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17507,51</w:t>
            </w:r>
          </w:p>
        </w:tc>
        <w:tc>
          <w:tcPr>
            <w:tcW w:w="1210" w:type="dxa"/>
          </w:tcPr>
          <w:p w14:paraId="16C17AE8" w14:textId="77777777" w:rsidR="00C90A2C" w:rsidRPr="006C115D" w:rsidRDefault="00C90A2C" w:rsidP="00757204">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0,765</w:t>
            </w:r>
          </w:p>
        </w:tc>
        <w:tc>
          <w:tcPr>
            <w:tcW w:w="1210" w:type="dxa"/>
          </w:tcPr>
          <w:p w14:paraId="1794C617" w14:textId="77777777" w:rsidR="00C90A2C" w:rsidRPr="00471EF6" w:rsidRDefault="00C90A2C"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15618,76</w:t>
            </w:r>
          </w:p>
        </w:tc>
        <w:tc>
          <w:tcPr>
            <w:tcW w:w="1210" w:type="dxa"/>
          </w:tcPr>
          <w:p w14:paraId="41800F7C" w14:textId="77777777" w:rsidR="00C90A2C" w:rsidRPr="00471EF6" w:rsidRDefault="00C90A2C"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19441,94</w:t>
            </w:r>
          </w:p>
        </w:tc>
        <w:tc>
          <w:tcPr>
            <w:tcW w:w="1211" w:type="dxa"/>
          </w:tcPr>
          <w:p w14:paraId="68DEEB8D" w14:textId="77777777" w:rsidR="00C90A2C" w:rsidRPr="006C115D" w:rsidRDefault="00C90A2C" w:rsidP="00757204">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0,017</w:t>
            </w:r>
          </w:p>
        </w:tc>
      </w:tr>
      <w:tr w:rsidR="00C90A2C" w14:paraId="74D471D7" w14:textId="77777777" w:rsidTr="00611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270DB00" w14:textId="380313F9" w:rsidR="00C90A2C" w:rsidRPr="00471EF6" w:rsidRDefault="002E7F26" w:rsidP="00757204">
            <w:pPr>
              <w:rPr>
                <w:sz w:val="18"/>
                <w:szCs w:val="18"/>
                <w:lang w:val="en-GB"/>
              </w:rPr>
            </w:pPr>
            <w:r>
              <w:rPr>
                <w:sz w:val="18"/>
                <w:szCs w:val="18"/>
                <w:lang w:val="en-GB"/>
              </w:rPr>
              <w:t>%</w:t>
            </w:r>
            <w:r w:rsidR="00C90A2C">
              <w:rPr>
                <w:sz w:val="18"/>
                <w:szCs w:val="18"/>
                <w:lang w:val="en-GB"/>
              </w:rPr>
              <w:t>Fat (%)</w:t>
            </w:r>
          </w:p>
        </w:tc>
        <w:tc>
          <w:tcPr>
            <w:tcW w:w="1210" w:type="dxa"/>
          </w:tcPr>
          <w:p w14:paraId="7E8E6730" w14:textId="77777777" w:rsidR="00C90A2C" w:rsidRPr="00471EF6" w:rsidRDefault="00C90A2C" w:rsidP="00757204">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28,95</w:t>
            </w:r>
          </w:p>
        </w:tc>
        <w:tc>
          <w:tcPr>
            <w:tcW w:w="1210" w:type="dxa"/>
          </w:tcPr>
          <w:p w14:paraId="381994A0" w14:textId="77777777" w:rsidR="00C90A2C" w:rsidRPr="00471EF6" w:rsidRDefault="00C90A2C" w:rsidP="00757204">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27,67</w:t>
            </w:r>
          </w:p>
        </w:tc>
        <w:tc>
          <w:tcPr>
            <w:tcW w:w="1210" w:type="dxa"/>
          </w:tcPr>
          <w:p w14:paraId="48677F16" w14:textId="77777777" w:rsidR="00C90A2C" w:rsidRPr="006C115D" w:rsidRDefault="00C90A2C" w:rsidP="00757204">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6C115D">
              <w:rPr>
                <w:i/>
                <w:sz w:val="18"/>
                <w:szCs w:val="18"/>
                <w:lang w:val="en-GB"/>
              </w:rPr>
              <w:t>0,062</w:t>
            </w:r>
          </w:p>
        </w:tc>
        <w:tc>
          <w:tcPr>
            <w:tcW w:w="1210" w:type="dxa"/>
          </w:tcPr>
          <w:p w14:paraId="45835B57" w14:textId="77777777" w:rsidR="00C90A2C" w:rsidRPr="00471EF6" w:rsidRDefault="00C90A2C" w:rsidP="00757204">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22,72</w:t>
            </w:r>
          </w:p>
        </w:tc>
        <w:tc>
          <w:tcPr>
            <w:tcW w:w="1210" w:type="dxa"/>
          </w:tcPr>
          <w:p w14:paraId="5B53E51B" w14:textId="77777777" w:rsidR="00C90A2C" w:rsidRPr="00471EF6" w:rsidRDefault="00C90A2C" w:rsidP="00757204">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27,54</w:t>
            </w:r>
          </w:p>
        </w:tc>
        <w:tc>
          <w:tcPr>
            <w:tcW w:w="1211" w:type="dxa"/>
          </w:tcPr>
          <w:p w14:paraId="3C89281B" w14:textId="77777777" w:rsidR="00C90A2C" w:rsidRPr="006C115D" w:rsidRDefault="00C90A2C" w:rsidP="00757204">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6C115D">
              <w:rPr>
                <w:i/>
                <w:sz w:val="18"/>
                <w:szCs w:val="18"/>
                <w:lang w:val="en-GB"/>
              </w:rPr>
              <w:t>0,001</w:t>
            </w:r>
          </w:p>
        </w:tc>
      </w:tr>
      <w:tr w:rsidR="00E22C19" w14:paraId="6E6ABE03" w14:textId="77777777" w:rsidTr="00611420">
        <w:tc>
          <w:tcPr>
            <w:cnfStyle w:val="001000000000" w:firstRow="0" w:lastRow="0" w:firstColumn="1" w:lastColumn="0" w:oddVBand="0" w:evenVBand="0" w:oddHBand="0" w:evenHBand="0" w:firstRowFirstColumn="0" w:firstRowLastColumn="0" w:lastRowFirstColumn="0" w:lastRowLastColumn="0"/>
            <w:tcW w:w="1951" w:type="dxa"/>
          </w:tcPr>
          <w:p w14:paraId="156EB31D" w14:textId="167BED42" w:rsidR="00E22C19" w:rsidRDefault="00E22C19" w:rsidP="00757204">
            <w:pPr>
              <w:rPr>
                <w:sz w:val="18"/>
                <w:szCs w:val="18"/>
                <w:lang w:val="en-GB"/>
              </w:rPr>
            </w:pPr>
            <w:r>
              <w:rPr>
                <w:sz w:val="18"/>
                <w:szCs w:val="18"/>
                <w:lang w:val="en-GB"/>
              </w:rPr>
              <w:t>Z-scores: %fat</w:t>
            </w:r>
          </w:p>
        </w:tc>
        <w:tc>
          <w:tcPr>
            <w:tcW w:w="1210" w:type="dxa"/>
          </w:tcPr>
          <w:p w14:paraId="52DA279E" w14:textId="5E348EB0" w:rsidR="00E22C19" w:rsidRDefault="005F2D3C"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-0,140</w:t>
            </w:r>
          </w:p>
        </w:tc>
        <w:tc>
          <w:tcPr>
            <w:tcW w:w="1210" w:type="dxa"/>
          </w:tcPr>
          <w:p w14:paraId="162EA833" w14:textId="3596A38A" w:rsidR="00E22C19" w:rsidRDefault="005F2D3C"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-0,405</w:t>
            </w:r>
          </w:p>
        </w:tc>
        <w:tc>
          <w:tcPr>
            <w:tcW w:w="1210" w:type="dxa"/>
          </w:tcPr>
          <w:p w14:paraId="16F7712A" w14:textId="6810057E" w:rsidR="00E22C19" w:rsidRPr="006C115D" w:rsidRDefault="005F2D3C" w:rsidP="00757204">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0,010</w:t>
            </w:r>
          </w:p>
        </w:tc>
        <w:tc>
          <w:tcPr>
            <w:tcW w:w="1210" w:type="dxa"/>
          </w:tcPr>
          <w:p w14:paraId="2DBD1A6C" w14:textId="0F00F3F8" w:rsidR="00E22C19" w:rsidRDefault="005F2D3C"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0,421</w:t>
            </w:r>
          </w:p>
        </w:tc>
        <w:tc>
          <w:tcPr>
            <w:tcW w:w="1210" w:type="dxa"/>
          </w:tcPr>
          <w:p w14:paraId="4AAB639F" w14:textId="7E984FA1" w:rsidR="00E22C19" w:rsidRDefault="005F2D3C"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0,977</w:t>
            </w:r>
          </w:p>
        </w:tc>
        <w:tc>
          <w:tcPr>
            <w:tcW w:w="1211" w:type="dxa"/>
          </w:tcPr>
          <w:p w14:paraId="2C19A20E" w14:textId="34058742" w:rsidR="00E22C19" w:rsidRPr="006C115D" w:rsidRDefault="005F2D3C" w:rsidP="00757204">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0,001</w:t>
            </w:r>
          </w:p>
        </w:tc>
      </w:tr>
      <w:tr w:rsidR="00C90A2C" w14:paraId="2AA5DF04" w14:textId="77777777" w:rsidTr="00611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52043BD" w14:textId="222ED164" w:rsidR="00C90A2C" w:rsidRPr="00471EF6" w:rsidRDefault="00C90A2C" w:rsidP="00757204">
            <w:pPr>
              <w:rPr>
                <w:sz w:val="18"/>
                <w:szCs w:val="18"/>
                <w:lang w:val="en-GB"/>
              </w:rPr>
            </w:pPr>
            <w:r>
              <w:rPr>
                <w:sz w:val="18"/>
                <w:szCs w:val="18"/>
                <w:lang w:val="en-GB"/>
              </w:rPr>
              <w:t>Lean</w:t>
            </w:r>
            <w:r w:rsidR="006F5FA0">
              <w:rPr>
                <w:sz w:val="18"/>
                <w:szCs w:val="18"/>
                <w:lang w:val="en-GB"/>
              </w:rPr>
              <w:t xml:space="preserve"> mass</w:t>
            </w:r>
            <w:r>
              <w:rPr>
                <w:sz w:val="18"/>
                <w:szCs w:val="18"/>
                <w:lang w:val="en-GB"/>
              </w:rPr>
              <w:t xml:space="preserve"> (g)</w:t>
            </w:r>
          </w:p>
        </w:tc>
        <w:tc>
          <w:tcPr>
            <w:tcW w:w="1210" w:type="dxa"/>
          </w:tcPr>
          <w:p w14:paraId="11D35C3D" w14:textId="77777777" w:rsidR="00C90A2C" w:rsidRPr="00471EF6" w:rsidRDefault="00C90A2C" w:rsidP="00757204">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39672,39</w:t>
            </w:r>
          </w:p>
        </w:tc>
        <w:tc>
          <w:tcPr>
            <w:tcW w:w="1210" w:type="dxa"/>
          </w:tcPr>
          <w:p w14:paraId="74865AF0" w14:textId="77777777" w:rsidR="00C90A2C" w:rsidRPr="00471EF6" w:rsidRDefault="00C90A2C" w:rsidP="00757204">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42264,60</w:t>
            </w:r>
          </w:p>
        </w:tc>
        <w:tc>
          <w:tcPr>
            <w:tcW w:w="1210" w:type="dxa"/>
          </w:tcPr>
          <w:p w14:paraId="615B8DAA" w14:textId="77777777" w:rsidR="00C90A2C" w:rsidRPr="006C115D" w:rsidRDefault="00C90A2C" w:rsidP="00757204">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6C115D">
              <w:rPr>
                <w:i/>
                <w:sz w:val="18"/>
                <w:szCs w:val="18"/>
                <w:lang w:val="en-GB"/>
              </w:rPr>
              <w:t>&lt;0,001</w:t>
            </w:r>
          </w:p>
        </w:tc>
        <w:tc>
          <w:tcPr>
            <w:tcW w:w="1210" w:type="dxa"/>
          </w:tcPr>
          <w:p w14:paraId="1056A2EE" w14:textId="77777777" w:rsidR="00C90A2C" w:rsidRPr="00471EF6" w:rsidRDefault="00C90A2C" w:rsidP="00757204">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49213,69</w:t>
            </w:r>
          </w:p>
        </w:tc>
        <w:tc>
          <w:tcPr>
            <w:tcW w:w="1210" w:type="dxa"/>
          </w:tcPr>
          <w:p w14:paraId="66B534B6" w14:textId="77777777" w:rsidR="00C90A2C" w:rsidRPr="00471EF6" w:rsidRDefault="00C90A2C" w:rsidP="00757204">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46523,78</w:t>
            </w:r>
          </w:p>
        </w:tc>
        <w:tc>
          <w:tcPr>
            <w:tcW w:w="1211" w:type="dxa"/>
          </w:tcPr>
          <w:p w14:paraId="50B4296B" w14:textId="77777777" w:rsidR="00C90A2C" w:rsidRPr="006C115D" w:rsidRDefault="00C90A2C" w:rsidP="00757204">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6C115D">
              <w:rPr>
                <w:i/>
                <w:sz w:val="18"/>
                <w:szCs w:val="18"/>
                <w:lang w:val="en-GB"/>
              </w:rPr>
              <w:t>0,003</w:t>
            </w:r>
          </w:p>
        </w:tc>
      </w:tr>
      <w:tr w:rsidR="00C90A2C" w14:paraId="31F01903" w14:textId="77777777" w:rsidTr="00611420">
        <w:tc>
          <w:tcPr>
            <w:cnfStyle w:val="001000000000" w:firstRow="0" w:lastRow="0" w:firstColumn="1" w:lastColumn="0" w:oddVBand="0" w:evenVBand="0" w:oddHBand="0" w:evenHBand="0" w:firstRowFirstColumn="0" w:firstRowLastColumn="0" w:lastRowFirstColumn="0" w:lastRowLastColumn="0"/>
            <w:tcW w:w="1951" w:type="dxa"/>
          </w:tcPr>
          <w:p w14:paraId="38695A92" w14:textId="1F1BA324" w:rsidR="00C90A2C" w:rsidRDefault="006F5FA0" w:rsidP="006F5FA0">
            <w:pPr>
              <w:rPr>
                <w:sz w:val="18"/>
                <w:szCs w:val="18"/>
                <w:lang w:val="en-GB"/>
              </w:rPr>
            </w:pPr>
            <w:r>
              <w:rPr>
                <w:sz w:val="18"/>
                <w:szCs w:val="18"/>
                <w:lang w:val="en-GB"/>
              </w:rPr>
              <w:t>Total m</w:t>
            </w:r>
            <w:r w:rsidR="00C90A2C">
              <w:rPr>
                <w:sz w:val="18"/>
                <w:szCs w:val="18"/>
                <w:lang w:val="en-GB"/>
              </w:rPr>
              <w:t>ass (g)</w:t>
            </w:r>
          </w:p>
        </w:tc>
        <w:tc>
          <w:tcPr>
            <w:tcW w:w="1210" w:type="dxa"/>
          </w:tcPr>
          <w:p w14:paraId="3CC45CC5" w14:textId="77777777" w:rsidR="00C90A2C" w:rsidRPr="00471EF6" w:rsidRDefault="00C90A2C"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58542,94</w:t>
            </w:r>
          </w:p>
        </w:tc>
        <w:tc>
          <w:tcPr>
            <w:tcW w:w="1210" w:type="dxa"/>
          </w:tcPr>
          <w:p w14:paraId="5427C137" w14:textId="77777777" w:rsidR="00C90A2C" w:rsidRPr="00471EF6" w:rsidRDefault="00C90A2C"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61108,77</w:t>
            </w:r>
          </w:p>
        </w:tc>
        <w:tc>
          <w:tcPr>
            <w:tcW w:w="1210" w:type="dxa"/>
          </w:tcPr>
          <w:p w14:paraId="142C380B" w14:textId="77777777" w:rsidR="00C90A2C" w:rsidRPr="006C115D" w:rsidRDefault="00C90A2C" w:rsidP="00757204">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0,006</w:t>
            </w:r>
          </w:p>
        </w:tc>
        <w:tc>
          <w:tcPr>
            <w:tcW w:w="1210" w:type="dxa"/>
          </w:tcPr>
          <w:p w14:paraId="7F6EC865" w14:textId="77777777" w:rsidR="00C90A2C" w:rsidRPr="00471EF6" w:rsidRDefault="00C90A2C"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66476,65</w:t>
            </w:r>
          </w:p>
        </w:tc>
        <w:tc>
          <w:tcPr>
            <w:tcW w:w="1210" w:type="dxa"/>
          </w:tcPr>
          <w:p w14:paraId="580AD90E" w14:textId="77777777" w:rsidR="00C90A2C" w:rsidRPr="00471EF6" w:rsidRDefault="00C90A2C" w:rsidP="00757204">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67668,93</w:t>
            </w:r>
          </w:p>
        </w:tc>
        <w:tc>
          <w:tcPr>
            <w:tcW w:w="1211" w:type="dxa"/>
          </w:tcPr>
          <w:p w14:paraId="3335CC6C" w14:textId="77777777" w:rsidR="00C90A2C" w:rsidRPr="006C115D" w:rsidRDefault="00C90A2C" w:rsidP="00757204">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0,583</w:t>
            </w:r>
          </w:p>
        </w:tc>
      </w:tr>
      <w:tr w:rsidR="00DC097A" w:rsidRPr="00B45B38" w14:paraId="0286181E" w14:textId="77777777" w:rsidTr="00611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7"/>
            <w:shd w:val="clear" w:color="auto" w:fill="D9D9D9" w:themeFill="background1" w:themeFillShade="D9"/>
          </w:tcPr>
          <w:p w14:paraId="66E88D6A" w14:textId="77777777" w:rsidR="00DC097A" w:rsidRPr="00B45B38" w:rsidRDefault="00DC097A" w:rsidP="00DC097A">
            <w:pPr>
              <w:jc w:val="center"/>
              <w:rPr>
                <w:b w:val="0"/>
                <w:sz w:val="18"/>
                <w:szCs w:val="18"/>
                <w:lang w:val="en-GB"/>
              </w:rPr>
            </w:pPr>
            <w:r w:rsidRPr="00B45B38">
              <w:rPr>
                <w:sz w:val="18"/>
                <w:szCs w:val="18"/>
                <w:lang w:val="en-GB"/>
              </w:rPr>
              <w:t>pQCT</w:t>
            </w:r>
            <w:r>
              <w:rPr>
                <w:sz w:val="18"/>
                <w:szCs w:val="18"/>
                <w:lang w:val="en-GB"/>
              </w:rPr>
              <w:t>: Radius 66%</w:t>
            </w:r>
          </w:p>
        </w:tc>
      </w:tr>
      <w:tr w:rsidR="0014195C" w:rsidRPr="007E1F7D" w14:paraId="27506FC4" w14:textId="77777777" w:rsidTr="003C1CD5">
        <w:tc>
          <w:tcPr>
            <w:cnfStyle w:val="001000000000" w:firstRow="0" w:lastRow="0" w:firstColumn="1" w:lastColumn="0" w:oddVBand="0" w:evenVBand="0" w:oddHBand="0" w:evenHBand="0" w:firstRowFirstColumn="0" w:firstRowLastColumn="0" w:lastRowFirstColumn="0" w:lastRowLastColumn="0"/>
            <w:tcW w:w="1951" w:type="dxa"/>
          </w:tcPr>
          <w:p w14:paraId="0D89A206" w14:textId="77777777" w:rsidR="0014195C" w:rsidRPr="007E1F7D" w:rsidRDefault="0014195C" w:rsidP="003C1CD5">
            <w:pPr>
              <w:rPr>
                <w:b w:val="0"/>
                <w:sz w:val="18"/>
                <w:szCs w:val="18"/>
                <w:lang w:val="en-GB"/>
              </w:rPr>
            </w:pPr>
            <w:r>
              <w:rPr>
                <w:b w:val="0"/>
                <w:sz w:val="18"/>
                <w:szCs w:val="18"/>
                <w:lang w:val="en-GB"/>
              </w:rPr>
              <w:t>Location</w:t>
            </w:r>
          </w:p>
        </w:tc>
        <w:tc>
          <w:tcPr>
            <w:tcW w:w="1210" w:type="dxa"/>
          </w:tcPr>
          <w:p w14:paraId="7419814A"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 L</w:t>
            </w:r>
            <w:r w:rsidRPr="007E1F7D">
              <w:rPr>
                <w:b/>
                <w:sz w:val="18"/>
                <w:szCs w:val="18"/>
                <w:lang w:val="en-GB"/>
              </w:rPr>
              <w:t xml:space="preserve"> </w:t>
            </w:r>
          </w:p>
        </w:tc>
        <w:tc>
          <w:tcPr>
            <w:tcW w:w="1210" w:type="dxa"/>
          </w:tcPr>
          <w:p w14:paraId="1181EE2B"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 xml:space="preserve">before </w:t>
            </w:r>
            <w:r w:rsidRPr="007E1F7D">
              <w:rPr>
                <w:b/>
                <w:sz w:val="18"/>
                <w:szCs w:val="18"/>
                <w:lang w:val="en-GB"/>
              </w:rPr>
              <w:t>C</w:t>
            </w:r>
            <w:r>
              <w:rPr>
                <w:b/>
                <w:sz w:val="18"/>
                <w:szCs w:val="18"/>
                <w:lang w:val="en-GB"/>
              </w:rPr>
              <w:t>SH</w:t>
            </w:r>
            <w:r w:rsidRPr="007E1F7D">
              <w:rPr>
                <w:b/>
                <w:sz w:val="18"/>
                <w:szCs w:val="18"/>
                <w:lang w:val="en-GB"/>
              </w:rPr>
              <w:t xml:space="preserve"> </w:t>
            </w:r>
          </w:p>
        </w:tc>
        <w:tc>
          <w:tcPr>
            <w:tcW w:w="1210" w:type="dxa"/>
          </w:tcPr>
          <w:p w14:paraId="409AABE2"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P (L)</w:t>
            </w:r>
          </w:p>
        </w:tc>
        <w:tc>
          <w:tcPr>
            <w:tcW w:w="1210" w:type="dxa"/>
          </w:tcPr>
          <w:p w14:paraId="08C0C2CA"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w:t>
            </w:r>
            <w:r w:rsidRPr="007E1F7D">
              <w:rPr>
                <w:b/>
                <w:sz w:val="18"/>
                <w:szCs w:val="18"/>
                <w:lang w:val="en-GB"/>
              </w:rPr>
              <w:t xml:space="preserve"> CA</w:t>
            </w:r>
          </w:p>
        </w:tc>
        <w:tc>
          <w:tcPr>
            <w:tcW w:w="1210" w:type="dxa"/>
          </w:tcPr>
          <w:p w14:paraId="65FD7002"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 CSH</w:t>
            </w:r>
          </w:p>
        </w:tc>
        <w:tc>
          <w:tcPr>
            <w:tcW w:w="1211" w:type="dxa"/>
          </w:tcPr>
          <w:p w14:paraId="46BEF882"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P (CA)</w:t>
            </w:r>
          </w:p>
        </w:tc>
      </w:tr>
      <w:tr w:rsidR="00DC097A" w14:paraId="05CD5A20" w14:textId="77777777" w:rsidTr="00611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A0C0524" w14:textId="77777777" w:rsidR="00DC097A" w:rsidRPr="00834B64" w:rsidRDefault="00DC097A" w:rsidP="00431BC9">
            <w:pPr>
              <w:rPr>
                <w:i/>
                <w:sz w:val="18"/>
                <w:szCs w:val="18"/>
                <w:lang w:val="en-GB"/>
              </w:rPr>
            </w:pPr>
            <w:r>
              <w:rPr>
                <w:i/>
                <w:sz w:val="18"/>
                <w:szCs w:val="18"/>
                <w:lang w:val="en-GB"/>
              </w:rPr>
              <w:t>Muscle density</w:t>
            </w:r>
          </w:p>
        </w:tc>
        <w:tc>
          <w:tcPr>
            <w:tcW w:w="1210" w:type="dxa"/>
          </w:tcPr>
          <w:p w14:paraId="6A2E1995" w14:textId="77777777" w:rsidR="00DC097A" w:rsidRPr="00471EF6" w:rsidRDefault="00DC097A" w:rsidP="00431BC9">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78,31</w:t>
            </w:r>
          </w:p>
        </w:tc>
        <w:tc>
          <w:tcPr>
            <w:tcW w:w="1210" w:type="dxa"/>
          </w:tcPr>
          <w:p w14:paraId="05984B5D" w14:textId="77777777" w:rsidR="00DC097A" w:rsidRPr="00471EF6" w:rsidRDefault="00DC097A" w:rsidP="00431BC9">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78,41</w:t>
            </w:r>
          </w:p>
        </w:tc>
        <w:tc>
          <w:tcPr>
            <w:tcW w:w="1210" w:type="dxa"/>
          </w:tcPr>
          <w:p w14:paraId="3E8FE748" w14:textId="77777777" w:rsidR="00DC097A" w:rsidRPr="006C115D" w:rsidRDefault="00DC097A" w:rsidP="00431BC9">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0,735</w:t>
            </w:r>
          </w:p>
        </w:tc>
        <w:tc>
          <w:tcPr>
            <w:tcW w:w="1210" w:type="dxa"/>
          </w:tcPr>
          <w:p w14:paraId="31A88D59" w14:textId="77777777" w:rsidR="00DC097A" w:rsidRPr="00471EF6" w:rsidRDefault="00DC097A" w:rsidP="00431BC9">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78,33</w:t>
            </w:r>
          </w:p>
        </w:tc>
        <w:tc>
          <w:tcPr>
            <w:tcW w:w="1210" w:type="dxa"/>
          </w:tcPr>
          <w:p w14:paraId="2A436128" w14:textId="77777777" w:rsidR="00DC097A" w:rsidRPr="00471EF6" w:rsidRDefault="00DC097A" w:rsidP="00431BC9">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76,88</w:t>
            </w:r>
          </w:p>
        </w:tc>
        <w:tc>
          <w:tcPr>
            <w:tcW w:w="1211" w:type="dxa"/>
          </w:tcPr>
          <w:p w14:paraId="75F2FC7E" w14:textId="77777777" w:rsidR="00DC097A" w:rsidRPr="006C115D" w:rsidRDefault="00DC097A" w:rsidP="00431BC9">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0,055</w:t>
            </w:r>
          </w:p>
        </w:tc>
      </w:tr>
      <w:tr w:rsidR="00DC097A" w14:paraId="48ED17D0" w14:textId="77777777" w:rsidTr="00611420">
        <w:tc>
          <w:tcPr>
            <w:cnfStyle w:val="001000000000" w:firstRow="0" w:lastRow="0" w:firstColumn="1" w:lastColumn="0" w:oddVBand="0" w:evenVBand="0" w:oddHBand="0" w:evenHBand="0" w:firstRowFirstColumn="0" w:firstRowLastColumn="0" w:lastRowFirstColumn="0" w:lastRowLastColumn="0"/>
            <w:tcW w:w="1951" w:type="dxa"/>
          </w:tcPr>
          <w:p w14:paraId="320723EA" w14:textId="77777777" w:rsidR="00DC097A" w:rsidRPr="00471EF6" w:rsidRDefault="00DC097A" w:rsidP="00431BC9">
            <w:pPr>
              <w:rPr>
                <w:sz w:val="18"/>
                <w:szCs w:val="18"/>
                <w:lang w:val="en-GB"/>
              </w:rPr>
            </w:pPr>
            <w:r>
              <w:rPr>
                <w:sz w:val="18"/>
                <w:szCs w:val="18"/>
                <w:lang w:val="en-GB"/>
              </w:rPr>
              <w:t>Muscle area</w:t>
            </w:r>
          </w:p>
        </w:tc>
        <w:tc>
          <w:tcPr>
            <w:tcW w:w="1210" w:type="dxa"/>
          </w:tcPr>
          <w:p w14:paraId="56F99AE1" w14:textId="77777777" w:rsidR="00DC097A" w:rsidRPr="00471EF6" w:rsidRDefault="00DC097A" w:rsidP="00431BC9">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2463,72</w:t>
            </w:r>
          </w:p>
        </w:tc>
        <w:tc>
          <w:tcPr>
            <w:tcW w:w="1210" w:type="dxa"/>
          </w:tcPr>
          <w:p w14:paraId="40B77F88" w14:textId="77777777" w:rsidR="00DC097A" w:rsidRPr="00471EF6" w:rsidRDefault="00DC097A" w:rsidP="00431BC9">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2720,68</w:t>
            </w:r>
          </w:p>
        </w:tc>
        <w:tc>
          <w:tcPr>
            <w:tcW w:w="1210" w:type="dxa"/>
          </w:tcPr>
          <w:p w14:paraId="5AA45D6B" w14:textId="77777777" w:rsidR="00DC097A" w:rsidRPr="006C115D" w:rsidRDefault="00DC097A" w:rsidP="00431BC9">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&lt;0,001</w:t>
            </w:r>
          </w:p>
        </w:tc>
        <w:tc>
          <w:tcPr>
            <w:tcW w:w="1210" w:type="dxa"/>
          </w:tcPr>
          <w:p w14:paraId="6EA0C9FB" w14:textId="77777777" w:rsidR="00DC097A" w:rsidRPr="00471EF6" w:rsidRDefault="00DC097A" w:rsidP="00431BC9">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3346,21</w:t>
            </w:r>
          </w:p>
        </w:tc>
        <w:tc>
          <w:tcPr>
            <w:tcW w:w="1210" w:type="dxa"/>
          </w:tcPr>
          <w:p w14:paraId="2971828B" w14:textId="77777777" w:rsidR="00DC097A" w:rsidRPr="00471EF6" w:rsidRDefault="00DC097A" w:rsidP="00431BC9">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3067,64</w:t>
            </w:r>
          </w:p>
        </w:tc>
        <w:tc>
          <w:tcPr>
            <w:tcW w:w="1211" w:type="dxa"/>
          </w:tcPr>
          <w:p w14:paraId="02A9D8C1" w14:textId="77777777" w:rsidR="00DC097A" w:rsidRPr="006C115D" w:rsidRDefault="00DC097A" w:rsidP="00431BC9">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0,019</w:t>
            </w:r>
          </w:p>
        </w:tc>
      </w:tr>
      <w:tr w:rsidR="0022378C" w14:paraId="7F203E7F" w14:textId="77777777" w:rsidTr="00820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385E2EB" w14:textId="171EA3C9" w:rsidR="0022378C" w:rsidRPr="00471EF6" w:rsidRDefault="00517F50" w:rsidP="00517F50">
            <w:pPr>
              <w:rPr>
                <w:sz w:val="18"/>
                <w:szCs w:val="18"/>
                <w:lang w:val="en-GB"/>
              </w:rPr>
            </w:pPr>
            <w:r>
              <w:rPr>
                <w:sz w:val="18"/>
                <w:szCs w:val="18"/>
                <w:lang w:val="en-GB"/>
              </w:rPr>
              <w:t xml:space="preserve">Z-scores: </w:t>
            </w:r>
            <w:r w:rsidR="0022378C">
              <w:rPr>
                <w:sz w:val="18"/>
                <w:szCs w:val="18"/>
                <w:lang w:val="en-GB"/>
              </w:rPr>
              <w:t xml:space="preserve">Muscle area </w:t>
            </w:r>
          </w:p>
        </w:tc>
        <w:tc>
          <w:tcPr>
            <w:tcW w:w="1210" w:type="dxa"/>
          </w:tcPr>
          <w:p w14:paraId="725F3C97" w14:textId="77777777" w:rsidR="0022378C" w:rsidRPr="00471EF6" w:rsidRDefault="0022378C" w:rsidP="008204A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-0,762</w:t>
            </w:r>
          </w:p>
        </w:tc>
        <w:tc>
          <w:tcPr>
            <w:tcW w:w="1210" w:type="dxa"/>
          </w:tcPr>
          <w:p w14:paraId="4AA46A5C" w14:textId="77777777" w:rsidR="0022378C" w:rsidRPr="00471EF6" w:rsidRDefault="0022378C" w:rsidP="008204A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0,031</w:t>
            </w:r>
          </w:p>
        </w:tc>
        <w:tc>
          <w:tcPr>
            <w:tcW w:w="1210" w:type="dxa"/>
          </w:tcPr>
          <w:p w14:paraId="20912EDB" w14:textId="77777777" w:rsidR="0022378C" w:rsidRPr="006C115D" w:rsidRDefault="0022378C" w:rsidP="008204AE">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&lt;0,001</w:t>
            </w:r>
          </w:p>
        </w:tc>
        <w:tc>
          <w:tcPr>
            <w:tcW w:w="1210" w:type="dxa"/>
          </w:tcPr>
          <w:p w14:paraId="7CBF3C74" w14:textId="77777777" w:rsidR="0022378C" w:rsidRPr="00471EF6" w:rsidRDefault="0022378C" w:rsidP="008204A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-0,664</w:t>
            </w:r>
          </w:p>
        </w:tc>
        <w:tc>
          <w:tcPr>
            <w:tcW w:w="1210" w:type="dxa"/>
          </w:tcPr>
          <w:p w14:paraId="4F7F377C" w14:textId="77777777" w:rsidR="0022378C" w:rsidRPr="00471EF6" w:rsidRDefault="0022378C" w:rsidP="008204A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-1,327</w:t>
            </w:r>
          </w:p>
        </w:tc>
        <w:tc>
          <w:tcPr>
            <w:tcW w:w="1211" w:type="dxa"/>
          </w:tcPr>
          <w:p w14:paraId="5E8067F0" w14:textId="77777777" w:rsidR="0022378C" w:rsidRPr="006C115D" w:rsidRDefault="0022378C" w:rsidP="008204AE">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0,001</w:t>
            </w:r>
          </w:p>
        </w:tc>
      </w:tr>
      <w:tr w:rsidR="00DC097A" w14:paraId="43C7D1F0" w14:textId="77777777" w:rsidTr="00611420">
        <w:tc>
          <w:tcPr>
            <w:cnfStyle w:val="001000000000" w:firstRow="0" w:lastRow="0" w:firstColumn="1" w:lastColumn="0" w:oddVBand="0" w:evenVBand="0" w:oddHBand="0" w:evenHBand="0" w:firstRowFirstColumn="0" w:firstRowLastColumn="0" w:lastRowFirstColumn="0" w:lastRowLastColumn="0"/>
            <w:tcW w:w="1951" w:type="dxa"/>
          </w:tcPr>
          <w:p w14:paraId="4AB76D24" w14:textId="77777777" w:rsidR="00DC097A" w:rsidRPr="00471EF6" w:rsidRDefault="00DC097A" w:rsidP="00431BC9">
            <w:pPr>
              <w:rPr>
                <w:sz w:val="18"/>
                <w:szCs w:val="18"/>
                <w:lang w:val="en-GB"/>
              </w:rPr>
            </w:pPr>
            <w:r>
              <w:rPr>
                <w:sz w:val="18"/>
                <w:szCs w:val="18"/>
                <w:lang w:val="en-GB"/>
              </w:rPr>
              <w:t>Fat area</w:t>
            </w:r>
          </w:p>
        </w:tc>
        <w:tc>
          <w:tcPr>
            <w:tcW w:w="1210" w:type="dxa"/>
          </w:tcPr>
          <w:p w14:paraId="79E2E21B" w14:textId="77777777" w:rsidR="00DC097A" w:rsidRPr="00471EF6" w:rsidRDefault="00DC097A" w:rsidP="00431BC9">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1512,31</w:t>
            </w:r>
          </w:p>
        </w:tc>
        <w:tc>
          <w:tcPr>
            <w:tcW w:w="1210" w:type="dxa"/>
          </w:tcPr>
          <w:p w14:paraId="10091275" w14:textId="77777777" w:rsidR="00DC097A" w:rsidRPr="00471EF6" w:rsidRDefault="00DC097A" w:rsidP="00431BC9">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1525,98</w:t>
            </w:r>
          </w:p>
        </w:tc>
        <w:tc>
          <w:tcPr>
            <w:tcW w:w="1210" w:type="dxa"/>
          </w:tcPr>
          <w:p w14:paraId="4715D4AA" w14:textId="77777777" w:rsidR="00DC097A" w:rsidRPr="006C115D" w:rsidRDefault="00DC097A" w:rsidP="00431BC9">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0,845</w:t>
            </w:r>
          </w:p>
        </w:tc>
        <w:tc>
          <w:tcPr>
            <w:tcW w:w="1210" w:type="dxa"/>
          </w:tcPr>
          <w:p w14:paraId="2B8C6682" w14:textId="77777777" w:rsidR="00DC097A" w:rsidRPr="00471EF6" w:rsidRDefault="00DC097A" w:rsidP="00431BC9">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1190,70</w:t>
            </w:r>
          </w:p>
        </w:tc>
        <w:tc>
          <w:tcPr>
            <w:tcW w:w="1210" w:type="dxa"/>
          </w:tcPr>
          <w:p w14:paraId="44456085" w14:textId="77777777" w:rsidR="00DC097A" w:rsidRPr="00471EF6" w:rsidRDefault="00DC097A" w:rsidP="00431BC9">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1535,09</w:t>
            </w:r>
          </w:p>
        </w:tc>
        <w:tc>
          <w:tcPr>
            <w:tcW w:w="1211" w:type="dxa"/>
          </w:tcPr>
          <w:p w14:paraId="3494993F" w14:textId="77777777" w:rsidR="00DC097A" w:rsidRPr="006C115D" w:rsidRDefault="00DC097A" w:rsidP="00431BC9">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0,013</w:t>
            </w:r>
          </w:p>
        </w:tc>
      </w:tr>
      <w:tr w:rsidR="00DC097A" w14:paraId="0E531296" w14:textId="77777777" w:rsidTr="00611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0100B06" w14:textId="616F85E4" w:rsidR="00DC097A" w:rsidRDefault="00517F50" w:rsidP="00517F50">
            <w:pPr>
              <w:rPr>
                <w:sz w:val="18"/>
                <w:szCs w:val="18"/>
                <w:lang w:val="en-GB"/>
              </w:rPr>
            </w:pPr>
            <w:r>
              <w:rPr>
                <w:sz w:val="18"/>
                <w:szCs w:val="18"/>
                <w:lang w:val="en-GB"/>
              </w:rPr>
              <w:t xml:space="preserve">Z-scores: </w:t>
            </w:r>
            <w:r w:rsidR="00DC097A">
              <w:rPr>
                <w:sz w:val="18"/>
                <w:szCs w:val="18"/>
                <w:lang w:val="en-GB"/>
              </w:rPr>
              <w:t xml:space="preserve">Fat area </w:t>
            </w:r>
          </w:p>
        </w:tc>
        <w:tc>
          <w:tcPr>
            <w:tcW w:w="1210" w:type="dxa"/>
          </w:tcPr>
          <w:p w14:paraId="0283A326" w14:textId="77777777" w:rsidR="00DC097A" w:rsidRPr="00471EF6" w:rsidRDefault="00DC097A" w:rsidP="00431BC9">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0,541</w:t>
            </w:r>
          </w:p>
        </w:tc>
        <w:tc>
          <w:tcPr>
            <w:tcW w:w="1210" w:type="dxa"/>
          </w:tcPr>
          <w:p w14:paraId="0F16A49A" w14:textId="77777777" w:rsidR="00DC097A" w:rsidRPr="00471EF6" w:rsidRDefault="00DC097A" w:rsidP="00431BC9">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0,424</w:t>
            </w:r>
          </w:p>
        </w:tc>
        <w:tc>
          <w:tcPr>
            <w:tcW w:w="1210" w:type="dxa"/>
          </w:tcPr>
          <w:p w14:paraId="72B56720" w14:textId="77777777" w:rsidR="00DC097A" w:rsidRPr="006C115D" w:rsidRDefault="00DC097A" w:rsidP="00431BC9">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0,447</w:t>
            </w:r>
          </w:p>
        </w:tc>
        <w:tc>
          <w:tcPr>
            <w:tcW w:w="1210" w:type="dxa"/>
          </w:tcPr>
          <w:p w14:paraId="344233B3" w14:textId="77777777" w:rsidR="00DC097A" w:rsidRPr="00471EF6" w:rsidRDefault="00DC097A" w:rsidP="00431BC9">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0,564</w:t>
            </w:r>
          </w:p>
        </w:tc>
        <w:tc>
          <w:tcPr>
            <w:tcW w:w="1210" w:type="dxa"/>
          </w:tcPr>
          <w:p w14:paraId="6AC63237" w14:textId="77777777" w:rsidR="00DC097A" w:rsidRPr="00471EF6" w:rsidRDefault="00DC097A" w:rsidP="00431BC9">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1,391</w:t>
            </w:r>
          </w:p>
        </w:tc>
        <w:tc>
          <w:tcPr>
            <w:tcW w:w="1211" w:type="dxa"/>
          </w:tcPr>
          <w:p w14:paraId="5081602A" w14:textId="77777777" w:rsidR="00DC097A" w:rsidRPr="006C115D" w:rsidRDefault="00DC097A" w:rsidP="00431BC9">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0,033</w:t>
            </w:r>
          </w:p>
        </w:tc>
      </w:tr>
      <w:tr w:rsidR="00DC097A" w:rsidRPr="00B45B38" w14:paraId="33F076D3" w14:textId="77777777" w:rsidTr="00611420">
        <w:tc>
          <w:tcPr>
            <w:cnfStyle w:val="001000000000" w:firstRow="0" w:lastRow="0" w:firstColumn="1" w:lastColumn="0" w:oddVBand="0" w:evenVBand="0" w:oddHBand="0" w:evenHBand="0" w:firstRowFirstColumn="0" w:firstRowLastColumn="0" w:lastRowFirstColumn="0" w:lastRowLastColumn="0"/>
            <w:tcW w:w="9212" w:type="dxa"/>
            <w:gridSpan w:val="7"/>
            <w:shd w:val="clear" w:color="auto" w:fill="D9D9D9" w:themeFill="background1" w:themeFillShade="D9"/>
          </w:tcPr>
          <w:p w14:paraId="23FCCA7A" w14:textId="77777777" w:rsidR="00DC097A" w:rsidRPr="00B45B38" w:rsidRDefault="00DC097A" w:rsidP="00DC097A">
            <w:pPr>
              <w:jc w:val="center"/>
              <w:rPr>
                <w:b w:val="0"/>
                <w:sz w:val="18"/>
                <w:szCs w:val="18"/>
                <w:lang w:val="en-GB"/>
              </w:rPr>
            </w:pPr>
            <w:r w:rsidRPr="00B45B38">
              <w:rPr>
                <w:sz w:val="18"/>
                <w:szCs w:val="18"/>
                <w:lang w:val="en-GB"/>
              </w:rPr>
              <w:t>pQCT</w:t>
            </w:r>
            <w:r>
              <w:rPr>
                <w:sz w:val="18"/>
                <w:szCs w:val="18"/>
                <w:lang w:val="en-GB"/>
              </w:rPr>
              <w:t>: Tibia 38%</w:t>
            </w:r>
          </w:p>
        </w:tc>
      </w:tr>
      <w:tr w:rsidR="0014195C" w:rsidRPr="007E1F7D" w14:paraId="7AE054B9" w14:textId="77777777" w:rsidTr="003C1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49EFDF7" w14:textId="77777777" w:rsidR="0014195C" w:rsidRPr="007E1F7D" w:rsidRDefault="0014195C" w:rsidP="003C1CD5">
            <w:pPr>
              <w:rPr>
                <w:b w:val="0"/>
                <w:sz w:val="18"/>
                <w:szCs w:val="18"/>
                <w:lang w:val="en-GB"/>
              </w:rPr>
            </w:pPr>
            <w:r>
              <w:rPr>
                <w:b w:val="0"/>
                <w:sz w:val="18"/>
                <w:szCs w:val="18"/>
                <w:lang w:val="en-GB"/>
              </w:rPr>
              <w:t>Location</w:t>
            </w:r>
          </w:p>
        </w:tc>
        <w:tc>
          <w:tcPr>
            <w:tcW w:w="1210" w:type="dxa"/>
          </w:tcPr>
          <w:p w14:paraId="5281BCE8"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 L</w:t>
            </w:r>
            <w:r w:rsidRPr="007E1F7D">
              <w:rPr>
                <w:b/>
                <w:sz w:val="18"/>
                <w:szCs w:val="18"/>
                <w:lang w:val="en-GB"/>
              </w:rPr>
              <w:t xml:space="preserve"> </w:t>
            </w:r>
          </w:p>
        </w:tc>
        <w:tc>
          <w:tcPr>
            <w:tcW w:w="1210" w:type="dxa"/>
          </w:tcPr>
          <w:p w14:paraId="5638E865"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 xml:space="preserve">before </w:t>
            </w:r>
            <w:r w:rsidRPr="007E1F7D">
              <w:rPr>
                <w:b/>
                <w:sz w:val="18"/>
                <w:szCs w:val="18"/>
                <w:lang w:val="en-GB"/>
              </w:rPr>
              <w:t>C</w:t>
            </w:r>
            <w:r>
              <w:rPr>
                <w:b/>
                <w:sz w:val="18"/>
                <w:szCs w:val="18"/>
                <w:lang w:val="en-GB"/>
              </w:rPr>
              <w:t>SH</w:t>
            </w:r>
            <w:r w:rsidRPr="007E1F7D">
              <w:rPr>
                <w:b/>
                <w:sz w:val="18"/>
                <w:szCs w:val="18"/>
                <w:lang w:val="en-GB"/>
              </w:rPr>
              <w:t xml:space="preserve"> </w:t>
            </w:r>
          </w:p>
        </w:tc>
        <w:tc>
          <w:tcPr>
            <w:tcW w:w="1210" w:type="dxa"/>
          </w:tcPr>
          <w:p w14:paraId="60385BE8"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P (L)</w:t>
            </w:r>
          </w:p>
        </w:tc>
        <w:tc>
          <w:tcPr>
            <w:tcW w:w="1210" w:type="dxa"/>
          </w:tcPr>
          <w:p w14:paraId="6D2ABEBA"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w:t>
            </w:r>
            <w:r w:rsidRPr="007E1F7D">
              <w:rPr>
                <w:b/>
                <w:sz w:val="18"/>
                <w:szCs w:val="18"/>
                <w:lang w:val="en-GB"/>
              </w:rPr>
              <w:t xml:space="preserve"> CA</w:t>
            </w:r>
          </w:p>
        </w:tc>
        <w:tc>
          <w:tcPr>
            <w:tcW w:w="1210" w:type="dxa"/>
          </w:tcPr>
          <w:p w14:paraId="1BE3D18B"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 CSH</w:t>
            </w:r>
          </w:p>
        </w:tc>
        <w:tc>
          <w:tcPr>
            <w:tcW w:w="1211" w:type="dxa"/>
          </w:tcPr>
          <w:p w14:paraId="0DEA9199"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P (CA)</w:t>
            </w:r>
          </w:p>
        </w:tc>
      </w:tr>
      <w:tr w:rsidR="00DC097A" w14:paraId="3BE0760F" w14:textId="77777777" w:rsidTr="00611420">
        <w:tc>
          <w:tcPr>
            <w:cnfStyle w:val="001000000000" w:firstRow="0" w:lastRow="0" w:firstColumn="1" w:lastColumn="0" w:oddVBand="0" w:evenVBand="0" w:oddHBand="0" w:evenHBand="0" w:firstRowFirstColumn="0" w:firstRowLastColumn="0" w:lastRowFirstColumn="0" w:lastRowLastColumn="0"/>
            <w:tcW w:w="1951" w:type="dxa"/>
          </w:tcPr>
          <w:p w14:paraId="45FC71F7" w14:textId="77777777" w:rsidR="00DC097A" w:rsidRPr="00834B64" w:rsidRDefault="00DC097A" w:rsidP="00431BC9">
            <w:pPr>
              <w:rPr>
                <w:i/>
                <w:sz w:val="18"/>
                <w:szCs w:val="18"/>
                <w:lang w:val="en-GB"/>
              </w:rPr>
            </w:pPr>
            <w:r>
              <w:rPr>
                <w:i/>
                <w:sz w:val="18"/>
                <w:szCs w:val="18"/>
                <w:lang w:val="en-GB"/>
              </w:rPr>
              <w:t>Muscle density</w:t>
            </w:r>
          </w:p>
        </w:tc>
        <w:tc>
          <w:tcPr>
            <w:tcW w:w="1210" w:type="dxa"/>
          </w:tcPr>
          <w:p w14:paraId="00ACD7C5" w14:textId="77777777" w:rsidR="00DC097A" w:rsidRDefault="00DC097A" w:rsidP="00431BC9">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78,11</w:t>
            </w:r>
          </w:p>
        </w:tc>
        <w:tc>
          <w:tcPr>
            <w:tcW w:w="1210" w:type="dxa"/>
          </w:tcPr>
          <w:p w14:paraId="01DE40A4" w14:textId="77777777" w:rsidR="00DC097A" w:rsidRDefault="00DC097A" w:rsidP="00431BC9">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78,30</w:t>
            </w:r>
          </w:p>
        </w:tc>
        <w:tc>
          <w:tcPr>
            <w:tcW w:w="1210" w:type="dxa"/>
          </w:tcPr>
          <w:p w14:paraId="46627D2A" w14:textId="77777777" w:rsidR="00DC097A" w:rsidRDefault="00DC097A" w:rsidP="00431BC9">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0,797</w:t>
            </w:r>
          </w:p>
        </w:tc>
        <w:tc>
          <w:tcPr>
            <w:tcW w:w="1210" w:type="dxa"/>
          </w:tcPr>
          <w:p w14:paraId="4B689254" w14:textId="77777777" w:rsidR="00DC097A" w:rsidRDefault="00DC097A" w:rsidP="00431BC9">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76,95</w:t>
            </w:r>
          </w:p>
        </w:tc>
        <w:tc>
          <w:tcPr>
            <w:tcW w:w="1210" w:type="dxa"/>
          </w:tcPr>
          <w:p w14:paraId="05C2787C" w14:textId="77777777" w:rsidR="00DC097A" w:rsidRDefault="00DC097A" w:rsidP="00431BC9">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76,39</w:t>
            </w:r>
          </w:p>
        </w:tc>
        <w:tc>
          <w:tcPr>
            <w:tcW w:w="1211" w:type="dxa"/>
          </w:tcPr>
          <w:p w14:paraId="1094E9F8" w14:textId="77777777" w:rsidR="00DC097A" w:rsidRDefault="00DC097A" w:rsidP="00431BC9">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0,480</w:t>
            </w:r>
          </w:p>
        </w:tc>
      </w:tr>
      <w:tr w:rsidR="00DC097A" w14:paraId="39310160" w14:textId="77777777" w:rsidTr="00611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2D1DE24F" w14:textId="77777777" w:rsidR="00DC097A" w:rsidRPr="00471EF6" w:rsidRDefault="00DC097A" w:rsidP="00431BC9">
            <w:pPr>
              <w:rPr>
                <w:sz w:val="18"/>
                <w:szCs w:val="18"/>
                <w:lang w:val="en-GB"/>
              </w:rPr>
            </w:pPr>
            <w:r>
              <w:rPr>
                <w:sz w:val="18"/>
                <w:szCs w:val="18"/>
                <w:lang w:val="en-GB"/>
              </w:rPr>
              <w:t>Muscle area</w:t>
            </w:r>
          </w:p>
        </w:tc>
        <w:tc>
          <w:tcPr>
            <w:tcW w:w="1210" w:type="dxa"/>
          </w:tcPr>
          <w:p w14:paraId="6E7FC7C3" w14:textId="77777777" w:rsidR="00DC097A" w:rsidRDefault="00DC097A" w:rsidP="00431BC9">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3307,29</w:t>
            </w:r>
          </w:p>
        </w:tc>
        <w:tc>
          <w:tcPr>
            <w:tcW w:w="1210" w:type="dxa"/>
          </w:tcPr>
          <w:p w14:paraId="371F8697" w14:textId="77777777" w:rsidR="00DC097A" w:rsidRDefault="00DC097A" w:rsidP="00431BC9">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3398,98</w:t>
            </w:r>
          </w:p>
        </w:tc>
        <w:tc>
          <w:tcPr>
            <w:tcW w:w="1210" w:type="dxa"/>
          </w:tcPr>
          <w:p w14:paraId="4F7B2758" w14:textId="77777777" w:rsidR="00DC097A" w:rsidRDefault="00DC097A" w:rsidP="00431BC9">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0,002</w:t>
            </w:r>
          </w:p>
        </w:tc>
        <w:tc>
          <w:tcPr>
            <w:tcW w:w="1210" w:type="dxa"/>
          </w:tcPr>
          <w:p w14:paraId="42A148AA" w14:textId="77777777" w:rsidR="00DC097A" w:rsidRDefault="00DC097A" w:rsidP="00431BC9">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4204,18</w:t>
            </w:r>
          </w:p>
        </w:tc>
        <w:tc>
          <w:tcPr>
            <w:tcW w:w="1210" w:type="dxa"/>
          </w:tcPr>
          <w:p w14:paraId="406D789A" w14:textId="77777777" w:rsidR="00DC097A" w:rsidRDefault="00DC097A" w:rsidP="00431BC9">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3827,83</w:t>
            </w:r>
          </w:p>
        </w:tc>
        <w:tc>
          <w:tcPr>
            <w:tcW w:w="1211" w:type="dxa"/>
          </w:tcPr>
          <w:p w14:paraId="42B8736D" w14:textId="77777777" w:rsidR="00DC097A" w:rsidRDefault="00DC097A" w:rsidP="00431BC9">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0,315</w:t>
            </w:r>
          </w:p>
        </w:tc>
      </w:tr>
      <w:tr w:rsidR="00DC097A" w14:paraId="5AFB9F8C" w14:textId="77777777" w:rsidTr="00611420">
        <w:tc>
          <w:tcPr>
            <w:cnfStyle w:val="001000000000" w:firstRow="0" w:lastRow="0" w:firstColumn="1" w:lastColumn="0" w:oddVBand="0" w:evenVBand="0" w:oddHBand="0" w:evenHBand="0" w:firstRowFirstColumn="0" w:firstRowLastColumn="0" w:lastRowFirstColumn="0" w:lastRowLastColumn="0"/>
            <w:tcW w:w="1951" w:type="dxa"/>
          </w:tcPr>
          <w:p w14:paraId="280EA57B" w14:textId="77777777" w:rsidR="00DC097A" w:rsidRPr="00471EF6" w:rsidRDefault="00DC097A" w:rsidP="00431BC9">
            <w:pPr>
              <w:rPr>
                <w:sz w:val="18"/>
                <w:szCs w:val="18"/>
                <w:lang w:val="en-GB"/>
              </w:rPr>
            </w:pPr>
            <w:r>
              <w:rPr>
                <w:sz w:val="18"/>
                <w:szCs w:val="18"/>
                <w:lang w:val="en-GB"/>
              </w:rPr>
              <w:t>Fat area</w:t>
            </w:r>
          </w:p>
        </w:tc>
        <w:tc>
          <w:tcPr>
            <w:tcW w:w="1210" w:type="dxa"/>
          </w:tcPr>
          <w:p w14:paraId="54EF1ED9" w14:textId="77777777" w:rsidR="00DC097A" w:rsidRDefault="00DC097A" w:rsidP="00431BC9">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2907,83</w:t>
            </w:r>
          </w:p>
        </w:tc>
        <w:tc>
          <w:tcPr>
            <w:tcW w:w="1210" w:type="dxa"/>
          </w:tcPr>
          <w:p w14:paraId="747F4963" w14:textId="77777777" w:rsidR="00DC097A" w:rsidRDefault="00DC097A" w:rsidP="00431BC9">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2913,01</w:t>
            </w:r>
          </w:p>
        </w:tc>
        <w:tc>
          <w:tcPr>
            <w:tcW w:w="1210" w:type="dxa"/>
          </w:tcPr>
          <w:p w14:paraId="522F6402" w14:textId="77777777" w:rsidR="00DC097A" w:rsidRDefault="00DC097A" w:rsidP="00431BC9">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0,586</w:t>
            </w:r>
          </w:p>
        </w:tc>
        <w:tc>
          <w:tcPr>
            <w:tcW w:w="1210" w:type="dxa"/>
          </w:tcPr>
          <w:p w14:paraId="7F1C831B" w14:textId="77777777" w:rsidR="00DC097A" w:rsidRDefault="00DC097A" w:rsidP="00431BC9">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2081,31</w:t>
            </w:r>
          </w:p>
        </w:tc>
        <w:tc>
          <w:tcPr>
            <w:tcW w:w="1210" w:type="dxa"/>
          </w:tcPr>
          <w:p w14:paraId="03DE8F9C" w14:textId="77777777" w:rsidR="00DC097A" w:rsidRDefault="00DC097A" w:rsidP="00431BC9">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2597,79</w:t>
            </w:r>
          </w:p>
        </w:tc>
        <w:tc>
          <w:tcPr>
            <w:tcW w:w="1211" w:type="dxa"/>
          </w:tcPr>
          <w:p w14:paraId="0C37FD43" w14:textId="77777777" w:rsidR="00DC097A" w:rsidRDefault="00DC097A" w:rsidP="00431BC9">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0,027</w:t>
            </w:r>
          </w:p>
        </w:tc>
      </w:tr>
    </w:tbl>
    <w:p w14:paraId="5554C854" w14:textId="297C766D" w:rsidR="00224194" w:rsidRDefault="00F35B32" w:rsidP="003058FE">
      <w:pPr>
        <w:spacing w:after="0" w:line="240" w:lineRule="auto"/>
        <w:jc w:val="both"/>
        <w:rPr>
          <w:sz w:val="18"/>
          <w:szCs w:val="18"/>
          <w:lang w:val="en-US"/>
        </w:rPr>
      </w:pPr>
      <w:r>
        <w:rPr>
          <w:sz w:val="18"/>
          <w:szCs w:val="18"/>
          <w:lang w:val="en-US"/>
        </w:rPr>
        <w:t>Mean before L/CA: baseline; Mean before CSH: mean levels before start CSH; P (L/CA): results of statistical tests;</w:t>
      </w:r>
      <w:r>
        <w:rPr>
          <w:sz w:val="18"/>
          <w:szCs w:val="18"/>
          <w:lang w:val="en-GB"/>
        </w:rPr>
        <w:t xml:space="preserve"> </w:t>
      </w:r>
      <w:r w:rsidR="00224194">
        <w:rPr>
          <w:sz w:val="18"/>
          <w:szCs w:val="18"/>
          <w:lang w:val="en-GB"/>
        </w:rPr>
        <w:t xml:space="preserve">Subtotal: whole body without the head. </w:t>
      </w:r>
      <w:r w:rsidR="00224194">
        <w:rPr>
          <w:sz w:val="18"/>
          <w:szCs w:val="18"/>
          <w:lang w:val="en-US"/>
        </w:rPr>
        <w:t xml:space="preserve">Mean M: mean values before start of progestin; Mean C: mean levels before start CSH; L: lynestrenol; CA: cyproterone acetate. </w:t>
      </w:r>
    </w:p>
    <w:p w14:paraId="41C36204" w14:textId="4CCF698E" w:rsidR="00FD5AB2" w:rsidRDefault="00FD5AB2" w:rsidP="00C942CA">
      <w:pPr>
        <w:pStyle w:val="Kop3"/>
        <w:rPr>
          <w:lang w:val="en-GB"/>
        </w:rPr>
      </w:pPr>
      <w:bookmarkStart w:id="53" w:name="_Toc451961509"/>
      <w:r w:rsidRPr="00C90A2C">
        <w:rPr>
          <w:lang w:val="en-GB"/>
        </w:rPr>
        <w:t xml:space="preserve">Bone development: DXA </w:t>
      </w:r>
      <w:r w:rsidR="00270C22">
        <w:rPr>
          <w:lang w:val="en-GB"/>
        </w:rPr>
        <w:t xml:space="preserve">results </w:t>
      </w:r>
      <w:r w:rsidRPr="00C90A2C">
        <w:rPr>
          <w:lang w:val="en-GB"/>
        </w:rPr>
        <w:t xml:space="preserve">(Table </w:t>
      </w:r>
      <w:r w:rsidR="00A0415B">
        <w:rPr>
          <w:lang w:val="en-GB"/>
        </w:rPr>
        <w:t>1</w:t>
      </w:r>
      <w:r w:rsidR="00A44497">
        <w:rPr>
          <w:lang w:val="en-GB"/>
        </w:rPr>
        <w:t>3</w:t>
      </w:r>
      <w:r w:rsidRPr="00C90A2C">
        <w:rPr>
          <w:lang w:val="en-GB"/>
        </w:rPr>
        <w:t>)</w:t>
      </w:r>
      <w:bookmarkEnd w:id="53"/>
    </w:p>
    <w:p w14:paraId="4E6E4155" w14:textId="3FC58C37" w:rsidR="00C83354" w:rsidRDefault="00C83354" w:rsidP="009B170C">
      <w:pPr>
        <w:pStyle w:val="Kop4"/>
        <w:rPr>
          <w:lang w:val="en-GB"/>
        </w:rPr>
      </w:pPr>
      <w:r>
        <w:rPr>
          <w:lang w:val="en-GB"/>
        </w:rPr>
        <w:t>FtM adolescents</w:t>
      </w:r>
    </w:p>
    <w:p w14:paraId="654D4A72" w14:textId="3D300E00" w:rsidR="00B7099B" w:rsidRPr="00B7099B" w:rsidRDefault="00B7099B" w:rsidP="005D737E">
      <w:pPr>
        <w:spacing w:after="0" w:line="360" w:lineRule="auto"/>
        <w:jc w:val="both"/>
        <w:rPr>
          <w:b/>
          <w:lang w:val="en-GB"/>
        </w:rPr>
      </w:pPr>
      <w:r w:rsidRPr="009B170C">
        <w:rPr>
          <w:i/>
          <w:lang w:val="en-GB"/>
        </w:rPr>
        <w:t>FtM</w:t>
      </w:r>
      <w:r w:rsidRPr="00B7099B">
        <w:rPr>
          <w:lang w:val="en-GB"/>
        </w:rPr>
        <w:t xml:space="preserve"> adolescents had a significant increase of the aBMC at the </w:t>
      </w:r>
      <w:r w:rsidR="0022378C">
        <w:rPr>
          <w:i/>
          <w:lang w:val="en-GB"/>
        </w:rPr>
        <w:t>total</w:t>
      </w:r>
      <w:r w:rsidRPr="009B170C">
        <w:rPr>
          <w:i/>
          <w:lang w:val="en-GB"/>
        </w:rPr>
        <w:t xml:space="preserve"> hip</w:t>
      </w:r>
      <w:r w:rsidRPr="00B7099B">
        <w:rPr>
          <w:lang w:val="en-GB"/>
        </w:rPr>
        <w:t xml:space="preserve">, whilst bone area remained constant. This led to a significant </w:t>
      </w:r>
      <w:r w:rsidR="002E182F">
        <w:rPr>
          <w:lang w:val="en-GB"/>
        </w:rPr>
        <w:t>increase in</w:t>
      </w:r>
      <w:r w:rsidR="001C6DCB">
        <w:rPr>
          <w:lang w:val="en-GB"/>
        </w:rPr>
        <w:t xml:space="preserve"> absolute values and z-scores of</w:t>
      </w:r>
      <w:r w:rsidR="002E182F">
        <w:rPr>
          <w:lang w:val="en-GB"/>
        </w:rPr>
        <w:t xml:space="preserve"> aBMD</w:t>
      </w:r>
      <w:r w:rsidR="001C6DCB">
        <w:rPr>
          <w:lang w:val="en-GB"/>
        </w:rPr>
        <w:t xml:space="preserve">. </w:t>
      </w:r>
      <w:r w:rsidR="0022378C">
        <w:rPr>
          <w:lang w:val="en-GB"/>
        </w:rPr>
        <w:t>At the femoral neck</w:t>
      </w:r>
      <w:r w:rsidR="001C6DCB">
        <w:rPr>
          <w:lang w:val="en-GB"/>
        </w:rPr>
        <w:t>, representing mainly cortical bone,</w:t>
      </w:r>
      <w:r w:rsidR="0022378C">
        <w:rPr>
          <w:lang w:val="en-GB"/>
        </w:rPr>
        <w:t xml:space="preserve"> Z-scores of aBMD</w:t>
      </w:r>
      <w:r w:rsidR="001C6DCB">
        <w:rPr>
          <w:lang w:val="en-GB"/>
        </w:rPr>
        <w:t xml:space="preserve"> did not change</w:t>
      </w:r>
      <w:r w:rsidR="0022378C">
        <w:rPr>
          <w:lang w:val="en-GB"/>
        </w:rPr>
        <w:t>.</w:t>
      </w:r>
    </w:p>
    <w:p w14:paraId="060ABEFB" w14:textId="7B6D21D3" w:rsidR="00B7099B" w:rsidRPr="005D737E" w:rsidRDefault="00B7099B" w:rsidP="005D737E">
      <w:pPr>
        <w:spacing w:after="0" w:line="360" w:lineRule="auto"/>
        <w:jc w:val="both"/>
        <w:rPr>
          <w:b/>
          <w:lang w:val="en-GB"/>
        </w:rPr>
      </w:pPr>
      <w:r>
        <w:rPr>
          <w:lang w:val="en-GB"/>
        </w:rPr>
        <w:t xml:space="preserve">At the </w:t>
      </w:r>
      <w:r w:rsidRPr="009B170C">
        <w:rPr>
          <w:i/>
          <w:lang w:val="en-GB"/>
        </w:rPr>
        <w:t>lumbar spine</w:t>
      </w:r>
      <w:r>
        <w:rPr>
          <w:lang w:val="en-GB"/>
        </w:rPr>
        <w:t xml:space="preserve">, </w:t>
      </w:r>
      <w:r w:rsidR="001C6DCB">
        <w:rPr>
          <w:lang w:val="en-GB"/>
        </w:rPr>
        <w:t xml:space="preserve">representing mostly trabecular bone, </w:t>
      </w:r>
      <w:r>
        <w:rPr>
          <w:lang w:val="en-GB"/>
        </w:rPr>
        <w:t>aBMC increased and bone area did not change, leading to an increased aBMD. aBMD Z-scores did not change, pointing at an evolution similar to age-matched female peers</w:t>
      </w:r>
      <w:r w:rsidR="005D737E">
        <w:rPr>
          <w:lang w:val="en-GB"/>
        </w:rPr>
        <w:t>.</w:t>
      </w:r>
      <w:r w:rsidR="00037039">
        <w:rPr>
          <w:lang w:val="en-GB"/>
        </w:rPr>
        <w:t xml:space="preserve"> </w:t>
      </w:r>
    </w:p>
    <w:p w14:paraId="12A50644" w14:textId="0F9152D4" w:rsidR="00037039" w:rsidRPr="0022378C" w:rsidRDefault="00B7099B" w:rsidP="005D737E">
      <w:pPr>
        <w:spacing w:after="0" w:line="360" w:lineRule="auto"/>
        <w:jc w:val="both"/>
        <w:rPr>
          <w:lang w:val="en-GB"/>
        </w:rPr>
      </w:pPr>
      <w:r>
        <w:rPr>
          <w:lang w:val="en-GB"/>
        </w:rPr>
        <w:t>F</w:t>
      </w:r>
      <w:r w:rsidR="00C83354">
        <w:rPr>
          <w:lang w:val="en-GB"/>
        </w:rPr>
        <w:t xml:space="preserve">or </w:t>
      </w:r>
      <w:r w:rsidR="00C83354" w:rsidRPr="009B170C">
        <w:rPr>
          <w:i/>
          <w:lang w:val="en-GB"/>
        </w:rPr>
        <w:t>whole bod</w:t>
      </w:r>
      <w:r w:rsidR="0022378C">
        <w:rPr>
          <w:lang w:val="en-GB"/>
        </w:rPr>
        <w:t>y</w:t>
      </w:r>
      <w:r w:rsidR="00C83354">
        <w:rPr>
          <w:lang w:val="en-GB"/>
        </w:rPr>
        <w:t>, only values</w:t>
      </w:r>
      <w:r>
        <w:rPr>
          <w:lang w:val="en-GB"/>
        </w:rPr>
        <w:t xml:space="preserve"> less head</w:t>
      </w:r>
      <w:r w:rsidR="00C83354">
        <w:rPr>
          <w:lang w:val="en-GB"/>
        </w:rPr>
        <w:t xml:space="preserve"> are reported. Areal </w:t>
      </w:r>
      <w:r w:rsidR="00C83354" w:rsidRPr="00C83354">
        <w:rPr>
          <w:lang w:val="en-GB"/>
        </w:rPr>
        <w:t xml:space="preserve">BMC and bone area significantly </w:t>
      </w:r>
      <w:r w:rsidR="00C83354">
        <w:rPr>
          <w:lang w:val="en-GB"/>
        </w:rPr>
        <w:t xml:space="preserve">increased; </w:t>
      </w:r>
      <w:r w:rsidR="00C83354" w:rsidRPr="00C83354">
        <w:rPr>
          <w:lang w:val="en-GB"/>
        </w:rPr>
        <w:t xml:space="preserve">aBMD only slightly and non-significantly increased. </w:t>
      </w:r>
    </w:p>
    <w:p w14:paraId="544FF45D" w14:textId="575AA4D2" w:rsidR="002D3A34" w:rsidRPr="009B170C" w:rsidRDefault="00C83354" w:rsidP="009B170C">
      <w:pPr>
        <w:pStyle w:val="Kop4"/>
        <w:rPr>
          <w:lang w:val="en-GB"/>
        </w:rPr>
      </w:pPr>
      <w:r>
        <w:rPr>
          <w:lang w:val="en-GB"/>
        </w:rPr>
        <w:t>MtF adolescents</w:t>
      </w:r>
    </w:p>
    <w:p w14:paraId="4E837EA7" w14:textId="0151CE33" w:rsidR="00037039" w:rsidRPr="005D737E" w:rsidRDefault="00B7099B" w:rsidP="003058FE">
      <w:pPr>
        <w:spacing w:after="0" w:line="360" w:lineRule="auto"/>
        <w:jc w:val="both"/>
        <w:rPr>
          <w:b/>
          <w:lang w:val="en-GB"/>
        </w:rPr>
      </w:pPr>
      <w:r>
        <w:rPr>
          <w:lang w:val="en-GB"/>
        </w:rPr>
        <w:t xml:space="preserve">In MtF adolescents taking CA, </w:t>
      </w:r>
      <w:r w:rsidR="00FD5AB2">
        <w:rPr>
          <w:lang w:val="en-GB"/>
        </w:rPr>
        <w:t xml:space="preserve">DXA scans of the </w:t>
      </w:r>
      <w:r w:rsidR="00FD5AB2" w:rsidRPr="0022378C">
        <w:rPr>
          <w:i/>
          <w:lang w:val="en-GB"/>
        </w:rPr>
        <w:t>hip</w:t>
      </w:r>
      <w:r w:rsidR="00FD5AB2">
        <w:rPr>
          <w:lang w:val="en-GB"/>
        </w:rPr>
        <w:t xml:space="preserve"> revealed an increase in bone area and decrease in </w:t>
      </w:r>
      <w:r w:rsidR="00936D69">
        <w:rPr>
          <w:lang w:val="en-GB"/>
        </w:rPr>
        <w:t>a</w:t>
      </w:r>
      <w:r w:rsidR="00FD5AB2">
        <w:rPr>
          <w:lang w:val="en-GB"/>
        </w:rPr>
        <w:t xml:space="preserve">BMC, leading to a decreased </w:t>
      </w:r>
      <w:r w:rsidR="00936D69">
        <w:rPr>
          <w:lang w:val="en-GB"/>
        </w:rPr>
        <w:t>a</w:t>
      </w:r>
      <w:r w:rsidR="00FD5AB2">
        <w:rPr>
          <w:lang w:val="en-GB"/>
        </w:rPr>
        <w:t>BMD</w:t>
      </w:r>
      <w:r w:rsidR="0022378C">
        <w:rPr>
          <w:lang w:val="en-GB"/>
        </w:rPr>
        <w:t>, which was significant at the femoral neck</w:t>
      </w:r>
      <w:r w:rsidR="00FD5AB2">
        <w:rPr>
          <w:lang w:val="en-GB"/>
        </w:rPr>
        <w:t xml:space="preserve">. </w:t>
      </w:r>
      <w:r w:rsidR="00F9764B">
        <w:rPr>
          <w:lang w:val="en-GB"/>
        </w:rPr>
        <w:t xml:space="preserve">Compared with their age-matched male peers, </w:t>
      </w:r>
      <w:r w:rsidR="00FD5AB2">
        <w:rPr>
          <w:lang w:val="en-GB"/>
        </w:rPr>
        <w:t>Z-scores of the total hip</w:t>
      </w:r>
      <w:r w:rsidR="0022378C">
        <w:rPr>
          <w:lang w:val="en-GB"/>
        </w:rPr>
        <w:t xml:space="preserve"> and femoral neck</w:t>
      </w:r>
      <w:r w:rsidR="00FD5AB2">
        <w:rPr>
          <w:lang w:val="en-GB"/>
        </w:rPr>
        <w:t xml:space="preserve"> significantly decreased. </w:t>
      </w:r>
    </w:p>
    <w:p w14:paraId="2E497B9F" w14:textId="50BB825C" w:rsidR="00270C22" w:rsidRPr="005D737E" w:rsidRDefault="00270C22" w:rsidP="003058FE">
      <w:pPr>
        <w:spacing w:after="0" w:line="360" w:lineRule="auto"/>
        <w:jc w:val="both"/>
        <w:rPr>
          <w:b/>
          <w:lang w:val="en-GB"/>
        </w:rPr>
      </w:pPr>
      <w:r>
        <w:rPr>
          <w:lang w:val="en-GB"/>
        </w:rPr>
        <w:t xml:space="preserve">At the </w:t>
      </w:r>
      <w:r w:rsidR="00037039" w:rsidRPr="009B170C">
        <w:rPr>
          <w:i/>
          <w:lang w:val="en-GB"/>
        </w:rPr>
        <w:t>lumbar</w:t>
      </w:r>
      <w:r w:rsidR="00F9764B">
        <w:rPr>
          <w:lang w:val="en-GB"/>
        </w:rPr>
        <w:t xml:space="preserve"> </w:t>
      </w:r>
      <w:r w:rsidR="00F9764B" w:rsidRPr="009B170C">
        <w:rPr>
          <w:i/>
          <w:lang w:val="en-GB"/>
        </w:rPr>
        <w:t>spine</w:t>
      </w:r>
      <w:r>
        <w:rPr>
          <w:i/>
          <w:lang w:val="en-GB"/>
        </w:rPr>
        <w:t xml:space="preserve">, </w:t>
      </w:r>
      <w:r>
        <w:rPr>
          <w:lang w:val="en-GB"/>
        </w:rPr>
        <w:t xml:space="preserve">Bone area and aBMC </w:t>
      </w:r>
      <w:r w:rsidR="00F9764B">
        <w:rPr>
          <w:lang w:val="en-GB"/>
        </w:rPr>
        <w:t xml:space="preserve">both </w:t>
      </w:r>
      <w:r>
        <w:rPr>
          <w:lang w:val="en-GB"/>
        </w:rPr>
        <w:t xml:space="preserve">increased </w:t>
      </w:r>
      <w:r w:rsidR="00FD5AB2">
        <w:rPr>
          <w:lang w:val="en-GB"/>
        </w:rPr>
        <w:t xml:space="preserve">with </w:t>
      </w:r>
      <w:r>
        <w:rPr>
          <w:lang w:val="en-GB"/>
        </w:rPr>
        <w:t xml:space="preserve">as a consequence, a </w:t>
      </w:r>
      <w:r w:rsidR="00187E10">
        <w:rPr>
          <w:lang w:val="en-GB"/>
        </w:rPr>
        <w:t xml:space="preserve">fairly </w:t>
      </w:r>
      <w:r w:rsidR="00FD5AB2">
        <w:rPr>
          <w:lang w:val="en-GB"/>
        </w:rPr>
        <w:t xml:space="preserve">stable </w:t>
      </w:r>
      <w:r w:rsidR="00936D69">
        <w:rPr>
          <w:lang w:val="en-GB"/>
        </w:rPr>
        <w:t>a</w:t>
      </w:r>
      <w:r w:rsidR="00F9764B">
        <w:rPr>
          <w:lang w:val="en-GB"/>
        </w:rPr>
        <w:t xml:space="preserve">BMD. </w:t>
      </w:r>
      <w:r>
        <w:rPr>
          <w:lang w:val="en-GB"/>
        </w:rPr>
        <w:t xml:space="preserve">This resulted in </w:t>
      </w:r>
      <w:r w:rsidR="00FD5AB2">
        <w:rPr>
          <w:lang w:val="en-GB"/>
        </w:rPr>
        <w:t xml:space="preserve">significantly decreased Z-scores. </w:t>
      </w:r>
    </w:p>
    <w:p w14:paraId="6E97FEDD" w14:textId="0EAF7664" w:rsidR="00FD5AB2" w:rsidRDefault="00270C22" w:rsidP="003058FE">
      <w:pPr>
        <w:spacing w:after="0" w:line="360" w:lineRule="auto"/>
        <w:jc w:val="both"/>
        <w:rPr>
          <w:lang w:val="en-GB"/>
        </w:rPr>
      </w:pPr>
      <w:r w:rsidRPr="009B170C">
        <w:rPr>
          <w:i/>
          <w:lang w:val="en-GB"/>
        </w:rPr>
        <w:t>Whole body less head</w:t>
      </w:r>
      <w:r>
        <w:rPr>
          <w:lang w:val="en-GB"/>
        </w:rPr>
        <w:t xml:space="preserve"> DXA scan revealed an increase in</w:t>
      </w:r>
      <w:r w:rsidR="00F9764B">
        <w:rPr>
          <w:lang w:val="en-GB"/>
        </w:rPr>
        <w:t xml:space="preserve"> </w:t>
      </w:r>
      <w:r w:rsidR="00FD5AB2">
        <w:rPr>
          <w:lang w:val="en-GB"/>
        </w:rPr>
        <w:t xml:space="preserve">bone area and </w:t>
      </w:r>
      <w:r w:rsidR="00936D69">
        <w:rPr>
          <w:lang w:val="en-GB"/>
        </w:rPr>
        <w:t>a</w:t>
      </w:r>
      <w:r w:rsidR="00FD5AB2">
        <w:rPr>
          <w:lang w:val="en-GB"/>
        </w:rPr>
        <w:t>BMC</w:t>
      </w:r>
      <w:r>
        <w:rPr>
          <w:lang w:val="en-GB"/>
        </w:rPr>
        <w:t>;</w:t>
      </w:r>
      <w:r w:rsidR="00FD5AB2">
        <w:rPr>
          <w:lang w:val="en-GB"/>
        </w:rPr>
        <w:t xml:space="preserve"> </w:t>
      </w:r>
      <w:r w:rsidR="00936D69">
        <w:rPr>
          <w:lang w:val="en-GB"/>
        </w:rPr>
        <w:t>a</w:t>
      </w:r>
      <w:r w:rsidR="00FD5AB2">
        <w:rPr>
          <w:lang w:val="en-GB"/>
        </w:rPr>
        <w:t xml:space="preserve">BMD </w:t>
      </w:r>
      <w:r>
        <w:rPr>
          <w:lang w:val="en-GB"/>
        </w:rPr>
        <w:t xml:space="preserve">did not change. However, this resulted in </w:t>
      </w:r>
      <w:r w:rsidR="00FD5AB2">
        <w:rPr>
          <w:lang w:val="en-GB"/>
        </w:rPr>
        <w:t>significantly decreased Z-scores.</w:t>
      </w:r>
    </w:p>
    <w:p w14:paraId="33F7919F" w14:textId="73B3D537" w:rsidR="0005383F" w:rsidRDefault="00962588" w:rsidP="00962588">
      <w:pPr>
        <w:spacing w:after="0" w:line="360" w:lineRule="auto"/>
        <w:jc w:val="both"/>
        <w:rPr>
          <w:b/>
          <w:lang w:val="en-GB"/>
        </w:rPr>
      </w:pPr>
      <w:r>
        <w:rPr>
          <w:lang w:val="en-GB"/>
        </w:rPr>
        <w:lastRenderedPageBreak/>
        <w:t>Of note, Z-scores of aBMD at all sites were already negative at baseline in all adolescents and most pronounced in the MtF transgender adolescents.</w:t>
      </w:r>
    </w:p>
    <w:p w14:paraId="5E230455" w14:textId="77AF44A3" w:rsidR="00187E10" w:rsidRPr="00187E10" w:rsidRDefault="00187E10" w:rsidP="002D3A34">
      <w:pPr>
        <w:spacing w:before="120" w:after="0" w:line="240" w:lineRule="auto"/>
        <w:rPr>
          <w:lang w:val="en-GB"/>
        </w:rPr>
      </w:pPr>
      <w:r>
        <w:rPr>
          <w:b/>
          <w:lang w:val="en-GB"/>
        </w:rPr>
        <w:t>Table 1</w:t>
      </w:r>
      <w:r w:rsidR="00A44497">
        <w:rPr>
          <w:b/>
          <w:lang w:val="en-GB"/>
        </w:rPr>
        <w:t>3</w:t>
      </w:r>
      <w:r>
        <w:rPr>
          <w:b/>
          <w:lang w:val="en-GB"/>
        </w:rPr>
        <w:t xml:space="preserve">. </w:t>
      </w:r>
      <w:r>
        <w:rPr>
          <w:lang w:val="en-GB"/>
        </w:rPr>
        <w:t>Summary of results</w:t>
      </w:r>
      <w:r w:rsidR="00DC7A83">
        <w:rPr>
          <w:lang w:val="en-GB"/>
        </w:rPr>
        <w:t>:</w:t>
      </w:r>
      <w:r>
        <w:rPr>
          <w:lang w:val="en-GB"/>
        </w:rPr>
        <w:t xml:space="preserve"> DXA scans.</w:t>
      </w:r>
    </w:p>
    <w:tbl>
      <w:tblPr>
        <w:tblStyle w:val="Onopgemaaktetabel21"/>
        <w:tblW w:w="0" w:type="auto"/>
        <w:tblLook w:val="04A0" w:firstRow="1" w:lastRow="0" w:firstColumn="1" w:lastColumn="0" w:noHBand="0" w:noVBand="1"/>
      </w:tblPr>
      <w:tblGrid>
        <w:gridCol w:w="1951"/>
        <w:gridCol w:w="1210"/>
        <w:gridCol w:w="1210"/>
        <w:gridCol w:w="1210"/>
        <w:gridCol w:w="1210"/>
        <w:gridCol w:w="1210"/>
        <w:gridCol w:w="1211"/>
      </w:tblGrid>
      <w:tr w:rsidR="004C48A5" w:rsidRPr="002F56B3" w14:paraId="01660CC9" w14:textId="77777777" w:rsidTr="00611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7"/>
            <w:shd w:val="clear" w:color="auto" w:fill="D9D9D9" w:themeFill="background1" w:themeFillShade="D9"/>
          </w:tcPr>
          <w:p w14:paraId="006A19A2" w14:textId="77777777" w:rsidR="004C48A5" w:rsidRPr="002F56B3" w:rsidRDefault="004C48A5" w:rsidP="00187E10">
            <w:pPr>
              <w:jc w:val="center"/>
              <w:rPr>
                <w:b w:val="0"/>
                <w:sz w:val="18"/>
                <w:szCs w:val="18"/>
                <w:lang w:val="en-GB"/>
              </w:rPr>
            </w:pPr>
            <w:r w:rsidRPr="002F56B3">
              <w:rPr>
                <w:sz w:val="18"/>
                <w:szCs w:val="18"/>
                <w:lang w:val="en-GB"/>
              </w:rPr>
              <w:t>DXA Hip</w:t>
            </w:r>
          </w:p>
        </w:tc>
      </w:tr>
      <w:tr w:rsidR="0014195C" w:rsidRPr="007E1F7D" w14:paraId="2C005F03" w14:textId="77777777" w:rsidTr="003C1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B6837D6" w14:textId="77777777" w:rsidR="0014195C" w:rsidRPr="007E1F7D" w:rsidRDefault="0014195C" w:rsidP="003C1CD5">
            <w:pPr>
              <w:rPr>
                <w:b w:val="0"/>
                <w:sz w:val="18"/>
                <w:szCs w:val="18"/>
                <w:lang w:val="en-GB"/>
              </w:rPr>
            </w:pPr>
            <w:r>
              <w:rPr>
                <w:b w:val="0"/>
                <w:sz w:val="18"/>
                <w:szCs w:val="18"/>
                <w:lang w:val="en-GB"/>
              </w:rPr>
              <w:t>Location</w:t>
            </w:r>
          </w:p>
        </w:tc>
        <w:tc>
          <w:tcPr>
            <w:tcW w:w="1210" w:type="dxa"/>
          </w:tcPr>
          <w:p w14:paraId="2832D832"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 L</w:t>
            </w:r>
            <w:r w:rsidRPr="007E1F7D">
              <w:rPr>
                <w:b/>
                <w:sz w:val="18"/>
                <w:szCs w:val="18"/>
                <w:lang w:val="en-GB"/>
              </w:rPr>
              <w:t xml:space="preserve"> </w:t>
            </w:r>
          </w:p>
        </w:tc>
        <w:tc>
          <w:tcPr>
            <w:tcW w:w="1210" w:type="dxa"/>
          </w:tcPr>
          <w:p w14:paraId="419CCCA2"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 xml:space="preserve">before </w:t>
            </w:r>
            <w:r w:rsidRPr="007E1F7D">
              <w:rPr>
                <w:b/>
                <w:sz w:val="18"/>
                <w:szCs w:val="18"/>
                <w:lang w:val="en-GB"/>
              </w:rPr>
              <w:t>C</w:t>
            </w:r>
            <w:r>
              <w:rPr>
                <w:b/>
                <w:sz w:val="18"/>
                <w:szCs w:val="18"/>
                <w:lang w:val="en-GB"/>
              </w:rPr>
              <w:t>SH</w:t>
            </w:r>
            <w:r w:rsidRPr="007E1F7D">
              <w:rPr>
                <w:b/>
                <w:sz w:val="18"/>
                <w:szCs w:val="18"/>
                <w:lang w:val="en-GB"/>
              </w:rPr>
              <w:t xml:space="preserve"> </w:t>
            </w:r>
          </w:p>
        </w:tc>
        <w:tc>
          <w:tcPr>
            <w:tcW w:w="1210" w:type="dxa"/>
          </w:tcPr>
          <w:p w14:paraId="37632DDB"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P (L)</w:t>
            </w:r>
          </w:p>
        </w:tc>
        <w:tc>
          <w:tcPr>
            <w:tcW w:w="1210" w:type="dxa"/>
          </w:tcPr>
          <w:p w14:paraId="72E2FD94"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w:t>
            </w:r>
            <w:r w:rsidRPr="007E1F7D">
              <w:rPr>
                <w:b/>
                <w:sz w:val="18"/>
                <w:szCs w:val="18"/>
                <w:lang w:val="en-GB"/>
              </w:rPr>
              <w:t xml:space="preserve"> CA</w:t>
            </w:r>
          </w:p>
        </w:tc>
        <w:tc>
          <w:tcPr>
            <w:tcW w:w="1210" w:type="dxa"/>
          </w:tcPr>
          <w:p w14:paraId="0926FA80"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 CSH</w:t>
            </w:r>
          </w:p>
        </w:tc>
        <w:tc>
          <w:tcPr>
            <w:tcW w:w="1211" w:type="dxa"/>
          </w:tcPr>
          <w:p w14:paraId="3764AAFC"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P (CA)</w:t>
            </w:r>
          </w:p>
        </w:tc>
      </w:tr>
      <w:tr w:rsidR="0005383F" w14:paraId="4A76A766" w14:textId="77777777" w:rsidTr="008204AE">
        <w:tc>
          <w:tcPr>
            <w:cnfStyle w:val="001000000000" w:firstRow="0" w:lastRow="0" w:firstColumn="1" w:lastColumn="0" w:oddVBand="0" w:evenVBand="0" w:oddHBand="0" w:evenHBand="0" w:firstRowFirstColumn="0" w:firstRowLastColumn="0" w:lastRowFirstColumn="0" w:lastRowLastColumn="0"/>
            <w:tcW w:w="1951" w:type="dxa"/>
          </w:tcPr>
          <w:p w14:paraId="135CC722" w14:textId="77777777" w:rsidR="0005383F" w:rsidRPr="00834B64" w:rsidRDefault="0005383F" w:rsidP="008204AE">
            <w:pPr>
              <w:rPr>
                <w:i/>
                <w:sz w:val="18"/>
                <w:szCs w:val="18"/>
                <w:lang w:val="en-GB"/>
              </w:rPr>
            </w:pPr>
            <w:r w:rsidRPr="00834B64">
              <w:rPr>
                <w:i/>
                <w:sz w:val="18"/>
                <w:szCs w:val="18"/>
                <w:lang w:val="en-GB"/>
              </w:rPr>
              <w:t xml:space="preserve">Total </w:t>
            </w:r>
            <w:r>
              <w:rPr>
                <w:i/>
                <w:sz w:val="18"/>
                <w:szCs w:val="18"/>
                <w:lang w:val="en-GB"/>
              </w:rPr>
              <w:t xml:space="preserve">hip </w:t>
            </w:r>
            <w:r w:rsidRPr="00834B64">
              <w:rPr>
                <w:i/>
                <w:sz w:val="18"/>
                <w:szCs w:val="18"/>
                <w:lang w:val="en-GB"/>
              </w:rPr>
              <w:t>A</w:t>
            </w:r>
            <w:r>
              <w:rPr>
                <w:i/>
                <w:sz w:val="18"/>
                <w:szCs w:val="18"/>
                <w:lang w:val="en-GB"/>
              </w:rPr>
              <w:t>rea</w:t>
            </w:r>
          </w:p>
        </w:tc>
        <w:tc>
          <w:tcPr>
            <w:tcW w:w="1210" w:type="dxa"/>
          </w:tcPr>
          <w:p w14:paraId="69502882" w14:textId="77777777" w:rsidR="0005383F" w:rsidRPr="00471EF6" w:rsidRDefault="0005383F" w:rsidP="008204AE">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34,127</w:t>
            </w:r>
          </w:p>
        </w:tc>
        <w:tc>
          <w:tcPr>
            <w:tcW w:w="1210" w:type="dxa"/>
          </w:tcPr>
          <w:p w14:paraId="432EF62B" w14:textId="77777777" w:rsidR="0005383F" w:rsidRPr="00471EF6" w:rsidRDefault="0005383F" w:rsidP="008204AE">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34,036</w:t>
            </w:r>
          </w:p>
        </w:tc>
        <w:tc>
          <w:tcPr>
            <w:tcW w:w="1210" w:type="dxa"/>
          </w:tcPr>
          <w:p w14:paraId="7BA69B85" w14:textId="77777777" w:rsidR="0005383F" w:rsidRPr="006C115D" w:rsidRDefault="0005383F" w:rsidP="008204AE">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0,525</w:t>
            </w:r>
          </w:p>
        </w:tc>
        <w:tc>
          <w:tcPr>
            <w:tcW w:w="1210" w:type="dxa"/>
          </w:tcPr>
          <w:p w14:paraId="41A93D98" w14:textId="77777777" w:rsidR="0005383F" w:rsidRPr="00471EF6" w:rsidRDefault="0005383F" w:rsidP="008204AE">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39,390</w:t>
            </w:r>
          </w:p>
        </w:tc>
        <w:tc>
          <w:tcPr>
            <w:tcW w:w="1210" w:type="dxa"/>
          </w:tcPr>
          <w:p w14:paraId="14ACC8DD" w14:textId="77777777" w:rsidR="0005383F" w:rsidRPr="00471EF6" w:rsidRDefault="0005383F" w:rsidP="008204AE">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39,500</w:t>
            </w:r>
          </w:p>
        </w:tc>
        <w:tc>
          <w:tcPr>
            <w:tcW w:w="1211" w:type="dxa"/>
          </w:tcPr>
          <w:p w14:paraId="43A27531" w14:textId="77777777" w:rsidR="0005383F" w:rsidRPr="006C115D" w:rsidRDefault="0005383F" w:rsidP="008204AE">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0,724</w:t>
            </w:r>
          </w:p>
        </w:tc>
      </w:tr>
      <w:tr w:rsidR="0005383F" w14:paraId="1A00D7E5" w14:textId="77777777" w:rsidTr="00820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500E2A6" w14:textId="542EBAB6" w:rsidR="0005383F" w:rsidRPr="00471EF6" w:rsidRDefault="00517F50" w:rsidP="008204AE">
            <w:pPr>
              <w:rPr>
                <w:sz w:val="18"/>
                <w:szCs w:val="18"/>
                <w:lang w:val="en-GB"/>
              </w:rPr>
            </w:pPr>
            <w:r>
              <w:rPr>
                <w:sz w:val="18"/>
                <w:szCs w:val="18"/>
                <w:lang w:val="en-GB"/>
              </w:rPr>
              <w:t>a</w:t>
            </w:r>
            <w:r w:rsidR="0005383F">
              <w:rPr>
                <w:sz w:val="18"/>
                <w:szCs w:val="18"/>
                <w:lang w:val="en-GB"/>
              </w:rPr>
              <w:t>BMC</w:t>
            </w:r>
          </w:p>
        </w:tc>
        <w:tc>
          <w:tcPr>
            <w:tcW w:w="1210" w:type="dxa"/>
          </w:tcPr>
          <w:p w14:paraId="4E03D80A" w14:textId="77777777" w:rsidR="0005383F" w:rsidRPr="00471EF6" w:rsidRDefault="0005383F" w:rsidP="008204A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31,491</w:t>
            </w:r>
          </w:p>
        </w:tc>
        <w:tc>
          <w:tcPr>
            <w:tcW w:w="1210" w:type="dxa"/>
          </w:tcPr>
          <w:p w14:paraId="0483DA64" w14:textId="77777777" w:rsidR="0005383F" w:rsidRPr="00471EF6" w:rsidRDefault="0005383F" w:rsidP="008204A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31,908</w:t>
            </w:r>
          </w:p>
        </w:tc>
        <w:tc>
          <w:tcPr>
            <w:tcW w:w="1210" w:type="dxa"/>
          </w:tcPr>
          <w:p w14:paraId="515DF13D" w14:textId="77777777" w:rsidR="0005383F" w:rsidRPr="006C115D" w:rsidRDefault="0005383F" w:rsidP="008204AE">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6C115D">
              <w:rPr>
                <w:i/>
                <w:sz w:val="18"/>
                <w:szCs w:val="18"/>
                <w:lang w:val="en-GB"/>
              </w:rPr>
              <w:t>0,025</w:t>
            </w:r>
          </w:p>
        </w:tc>
        <w:tc>
          <w:tcPr>
            <w:tcW w:w="1210" w:type="dxa"/>
          </w:tcPr>
          <w:p w14:paraId="1BFC92DF" w14:textId="77777777" w:rsidR="0005383F" w:rsidRPr="00471EF6" w:rsidRDefault="0005383F" w:rsidP="008204A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37,127</w:t>
            </w:r>
          </w:p>
        </w:tc>
        <w:tc>
          <w:tcPr>
            <w:tcW w:w="1210" w:type="dxa"/>
          </w:tcPr>
          <w:p w14:paraId="439B2318" w14:textId="77777777" w:rsidR="0005383F" w:rsidRPr="00471EF6" w:rsidRDefault="0005383F" w:rsidP="008204A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36,593</w:t>
            </w:r>
          </w:p>
        </w:tc>
        <w:tc>
          <w:tcPr>
            <w:tcW w:w="1211" w:type="dxa"/>
          </w:tcPr>
          <w:p w14:paraId="319E1E65" w14:textId="77777777" w:rsidR="0005383F" w:rsidRPr="006C115D" w:rsidRDefault="0005383F" w:rsidP="008204AE">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6C115D">
              <w:rPr>
                <w:i/>
                <w:sz w:val="18"/>
                <w:szCs w:val="18"/>
                <w:lang w:val="en-GB"/>
              </w:rPr>
              <w:t>0,219</w:t>
            </w:r>
          </w:p>
        </w:tc>
      </w:tr>
      <w:tr w:rsidR="0005383F" w14:paraId="3D7F6489" w14:textId="77777777" w:rsidTr="008204AE">
        <w:tc>
          <w:tcPr>
            <w:cnfStyle w:val="001000000000" w:firstRow="0" w:lastRow="0" w:firstColumn="1" w:lastColumn="0" w:oddVBand="0" w:evenVBand="0" w:oddHBand="0" w:evenHBand="0" w:firstRowFirstColumn="0" w:firstRowLastColumn="0" w:lastRowFirstColumn="0" w:lastRowLastColumn="0"/>
            <w:tcW w:w="1951" w:type="dxa"/>
          </w:tcPr>
          <w:p w14:paraId="2D671F72" w14:textId="06EE258F" w:rsidR="0005383F" w:rsidRPr="00471EF6" w:rsidRDefault="00517F50" w:rsidP="008204AE">
            <w:pPr>
              <w:rPr>
                <w:sz w:val="18"/>
                <w:szCs w:val="18"/>
                <w:lang w:val="en-GB"/>
              </w:rPr>
            </w:pPr>
            <w:r>
              <w:rPr>
                <w:sz w:val="18"/>
                <w:szCs w:val="18"/>
                <w:lang w:val="en-GB"/>
              </w:rPr>
              <w:t>a</w:t>
            </w:r>
            <w:r w:rsidR="0005383F">
              <w:rPr>
                <w:sz w:val="18"/>
                <w:szCs w:val="18"/>
                <w:lang w:val="en-GB"/>
              </w:rPr>
              <w:t>BMD</w:t>
            </w:r>
          </w:p>
        </w:tc>
        <w:tc>
          <w:tcPr>
            <w:tcW w:w="1210" w:type="dxa"/>
          </w:tcPr>
          <w:p w14:paraId="682E152E" w14:textId="77777777" w:rsidR="0005383F" w:rsidRPr="00471EF6" w:rsidRDefault="0005383F" w:rsidP="008204AE">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0,923</w:t>
            </w:r>
          </w:p>
        </w:tc>
        <w:tc>
          <w:tcPr>
            <w:tcW w:w="1210" w:type="dxa"/>
          </w:tcPr>
          <w:p w14:paraId="4AEF6B77" w14:textId="77777777" w:rsidR="0005383F" w:rsidRPr="00471EF6" w:rsidRDefault="0005383F" w:rsidP="008204AE">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0,937</w:t>
            </w:r>
          </w:p>
        </w:tc>
        <w:tc>
          <w:tcPr>
            <w:tcW w:w="1210" w:type="dxa"/>
          </w:tcPr>
          <w:p w14:paraId="5DFA8155" w14:textId="77777777" w:rsidR="0005383F" w:rsidRPr="006C115D" w:rsidRDefault="0005383F" w:rsidP="008204AE">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0,003</w:t>
            </w:r>
          </w:p>
        </w:tc>
        <w:tc>
          <w:tcPr>
            <w:tcW w:w="1210" w:type="dxa"/>
          </w:tcPr>
          <w:p w14:paraId="6E407032" w14:textId="77777777" w:rsidR="0005383F" w:rsidRPr="00471EF6" w:rsidRDefault="0005383F" w:rsidP="008204AE">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0,943</w:t>
            </w:r>
          </w:p>
        </w:tc>
        <w:tc>
          <w:tcPr>
            <w:tcW w:w="1210" w:type="dxa"/>
          </w:tcPr>
          <w:p w14:paraId="391D1198" w14:textId="77777777" w:rsidR="0005383F" w:rsidRPr="00471EF6" w:rsidRDefault="0005383F" w:rsidP="008204AE">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0,928</w:t>
            </w:r>
          </w:p>
        </w:tc>
        <w:tc>
          <w:tcPr>
            <w:tcW w:w="1211" w:type="dxa"/>
          </w:tcPr>
          <w:p w14:paraId="2B38CF8F" w14:textId="77777777" w:rsidR="0005383F" w:rsidRPr="006C115D" w:rsidRDefault="0005383F" w:rsidP="008204AE">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0,086</w:t>
            </w:r>
          </w:p>
        </w:tc>
      </w:tr>
      <w:tr w:rsidR="0005383F" w14:paraId="233FD8C2" w14:textId="77777777" w:rsidTr="00820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2F5E5A4" w14:textId="0D3E56EA" w:rsidR="0005383F" w:rsidRDefault="0005383F" w:rsidP="0005383F">
            <w:pPr>
              <w:rPr>
                <w:sz w:val="18"/>
                <w:szCs w:val="18"/>
                <w:lang w:val="en-GB"/>
              </w:rPr>
            </w:pPr>
            <w:r>
              <w:rPr>
                <w:sz w:val="18"/>
                <w:szCs w:val="18"/>
                <w:lang w:val="en-GB"/>
              </w:rPr>
              <w:t>Z-scores: BMD</w:t>
            </w:r>
          </w:p>
        </w:tc>
        <w:tc>
          <w:tcPr>
            <w:tcW w:w="1210" w:type="dxa"/>
          </w:tcPr>
          <w:p w14:paraId="2E7770B6" w14:textId="77777777" w:rsidR="0005383F" w:rsidRDefault="0005383F" w:rsidP="008204A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-0,197</w:t>
            </w:r>
          </w:p>
        </w:tc>
        <w:tc>
          <w:tcPr>
            <w:tcW w:w="1210" w:type="dxa"/>
          </w:tcPr>
          <w:p w14:paraId="372BCF6F" w14:textId="77777777" w:rsidR="0005383F" w:rsidRDefault="0005383F" w:rsidP="008204A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-0,069</w:t>
            </w:r>
          </w:p>
        </w:tc>
        <w:tc>
          <w:tcPr>
            <w:tcW w:w="1210" w:type="dxa"/>
          </w:tcPr>
          <w:p w14:paraId="26C1B396" w14:textId="77777777" w:rsidR="0005383F" w:rsidRPr="006C115D" w:rsidRDefault="0005383F" w:rsidP="008204AE">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6C115D">
              <w:rPr>
                <w:i/>
                <w:sz w:val="18"/>
                <w:szCs w:val="18"/>
                <w:lang w:val="en-GB"/>
              </w:rPr>
              <w:t>0,001</w:t>
            </w:r>
          </w:p>
        </w:tc>
        <w:tc>
          <w:tcPr>
            <w:tcW w:w="1210" w:type="dxa"/>
          </w:tcPr>
          <w:p w14:paraId="7013484C" w14:textId="77777777" w:rsidR="0005383F" w:rsidRDefault="0005383F" w:rsidP="008204A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-0,567</w:t>
            </w:r>
          </w:p>
        </w:tc>
        <w:tc>
          <w:tcPr>
            <w:tcW w:w="1210" w:type="dxa"/>
          </w:tcPr>
          <w:p w14:paraId="2EC97E67" w14:textId="77777777" w:rsidR="0005383F" w:rsidRDefault="0005383F" w:rsidP="008204A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-0,787</w:t>
            </w:r>
          </w:p>
        </w:tc>
        <w:tc>
          <w:tcPr>
            <w:tcW w:w="1211" w:type="dxa"/>
          </w:tcPr>
          <w:p w14:paraId="0302F363" w14:textId="77777777" w:rsidR="0005383F" w:rsidRPr="006C115D" w:rsidRDefault="0005383F" w:rsidP="008204AE">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6C115D">
              <w:rPr>
                <w:i/>
                <w:sz w:val="18"/>
                <w:szCs w:val="18"/>
                <w:lang w:val="en-GB"/>
              </w:rPr>
              <w:t>0,031</w:t>
            </w:r>
          </w:p>
        </w:tc>
      </w:tr>
      <w:tr w:rsidR="004C48A5" w14:paraId="2D8B5515" w14:textId="77777777" w:rsidTr="00611420">
        <w:tc>
          <w:tcPr>
            <w:cnfStyle w:val="001000000000" w:firstRow="0" w:lastRow="0" w:firstColumn="1" w:lastColumn="0" w:oddVBand="0" w:evenVBand="0" w:oddHBand="0" w:evenHBand="0" w:firstRowFirstColumn="0" w:firstRowLastColumn="0" w:lastRowFirstColumn="0" w:lastRowLastColumn="0"/>
            <w:tcW w:w="1951" w:type="dxa"/>
          </w:tcPr>
          <w:p w14:paraId="7406A8E1" w14:textId="13AE6F6D" w:rsidR="004C48A5" w:rsidRPr="00834B64" w:rsidRDefault="00356D1D" w:rsidP="00187E10">
            <w:pPr>
              <w:rPr>
                <w:i/>
                <w:sz w:val="18"/>
                <w:szCs w:val="18"/>
                <w:lang w:val="en-GB"/>
              </w:rPr>
            </w:pPr>
            <w:r>
              <w:rPr>
                <w:i/>
                <w:sz w:val="18"/>
                <w:szCs w:val="18"/>
                <w:lang w:val="en-GB"/>
              </w:rPr>
              <w:t>Femoral neck A</w:t>
            </w:r>
            <w:r w:rsidR="00037039">
              <w:rPr>
                <w:i/>
                <w:sz w:val="18"/>
                <w:szCs w:val="18"/>
                <w:lang w:val="en-GB"/>
              </w:rPr>
              <w:t>rea</w:t>
            </w:r>
          </w:p>
        </w:tc>
        <w:tc>
          <w:tcPr>
            <w:tcW w:w="1210" w:type="dxa"/>
          </w:tcPr>
          <w:p w14:paraId="3E89BF1E" w14:textId="63E63574" w:rsidR="004C48A5" w:rsidRPr="00471EF6" w:rsidRDefault="00356D1D" w:rsidP="00356D1D">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5,035</w:t>
            </w:r>
          </w:p>
        </w:tc>
        <w:tc>
          <w:tcPr>
            <w:tcW w:w="1210" w:type="dxa"/>
          </w:tcPr>
          <w:p w14:paraId="4575B3A5" w14:textId="4F2D2997" w:rsidR="004C48A5" w:rsidRPr="00471EF6" w:rsidRDefault="00356D1D" w:rsidP="00356D1D">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5,103</w:t>
            </w:r>
          </w:p>
        </w:tc>
        <w:tc>
          <w:tcPr>
            <w:tcW w:w="1210" w:type="dxa"/>
          </w:tcPr>
          <w:p w14:paraId="4F79A14C" w14:textId="615FAF0F" w:rsidR="004C48A5" w:rsidRPr="006C115D" w:rsidRDefault="004C48A5" w:rsidP="00356D1D">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0,</w:t>
            </w:r>
            <w:r w:rsidR="00356D1D">
              <w:rPr>
                <w:i/>
                <w:sz w:val="18"/>
                <w:szCs w:val="18"/>
                <w:lang w:val="en-GB"/>
              </w:rPr>
              <w:t>152</w:t>
            </w:r>
          </w:p>
        </w:tc>
        <w:tc>
          <w:tcPr>
            <w:tcW w:w="1210" w:type="dxa"/>
          </w:tcPr>
          <w:p w14:paraId="082DD115" w14:textId="2916D63D" w:rsidR="004C48A5" w:rsidRPr="00471EF6" w:rsidRDefault="00356D1D" w:rsidP="00356D1D">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5,480</w:t>
            </w:r>
          </w:p>
        </w:tc>
        <w:tc>
          <w:tcPr>
            <w:tcW w:w="1210" w:type="dxa"/>
          </w:tcPr>
          <w:p w14:paraId="60BAB864" w14:textId="424E183F" w:rsidR="004C48A5" w:rsidRPr="00471EF6" w:rsidRDefault="00356D1D" w:rsidP="00356D1D">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5,556</w:t>
            </w:r>
          </w:p>
        </w:tc>
        <w:tc>
          <w:tcPr>
            <w:tcW w:w="1211" w:type="dxa"/>
          </w:tcPr>
          <w:p w14:paraId="7640C325" w14:textId="755D2DA3" w:rsidR="004C48A5" w:rsidRPr="006C115D" w:rsidRDefault="004C48A5" w:rsidP="00356D1D">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0,</w:t>
            </w:r>
            <w:r w:rsidR="00356D1D">
              <w:rPr>
                <w:i/>
                <w:sz w:val="18"/>
                <w:szCs w:val="18"/>
                <w:lang w:val="en-GB"/>
              </w:rPr>
              <w:t>087</w:t>
            </w:r>
          </w:p>
        </w:tc>
      </w:tr>
      <w:tr w:rsidR="004C48A5" w14:paraId="50BCE6A2" w14:textId="77777777" w:rsidTr="00611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54BDD2C" w14:textId="6D6FE43E" w:rsidR="004C48A5" w:rsidRPr="00471EF6" w:rsidRDefault="00517F50" w:rsidP="00187E10">
            <w:pPr>
              <w:rPr>
                <w:sz w:val="18"/>
                <w:szCs w:val="18"/>
                <w:lang w:val="en-GB"/>
              </w:rPr>
            </w:pPr>
            <w:r>
              <w:rPr>
                <w:sz w:val="18"/>
                <w:szCs w:val="18"/>
                <w:lang w:val="en-GB"/>
              </w:rPr>
              <w:t>a</w:t>
            </w:r>
            <w:r w:rsidR="004C48A5">
              <w:rPr>
                <w:sz w:val="18"/>
                <w:szCs w:val="18"/>
                <w:lang w:val="en-GB"/>
              </w:rPr>
              <w:t>BMC</w:t>
            </w:r>
          </w:p>
        </w:tc>
        <w:tc>
          <w:tcPr>
            <w:tcW w:w="1210" w:type="dxa"/>
          </w:tcPr>
          <w:p w14:paraId="5A70B2F4" w14:textId="751C5B76" w:rsidR="004C48A5" w:rsidRPr="00471EF6" w:rsidRDefault="00356D1D" w:rsidP="00356D1D">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4</w:t>
            </w:r>
            <w:r w:rsidR="004C48A5">
              <w:rPr>
                <w:sz w:val="18"/>
                <w:szCs w:val="18"/>
                <w:lang w:val="en-GB"/>
              </w:rPr>
              <w:t>,</w:t>
            </w:r>
            <w:r>
              <w:rPr>
                <w:sz w:val="18"/>
                <w:szCs w:val="18"/>
                <w:lang w:val="en-GB"/>
              </w:rPr>
              <w:t>109</w:t>
            </w:r>
          </w:p>
        </w:tc>
        <w:tc>
          <w:tcPr>
            <w:tcW w:w="1210" w:type="dxa"/>
          </w:tcPr>
          <w:p w14:paraId="308E2FE8" w14:textId="66AE58CE" w:rsidR="004C48A5" w:rsidRPr="00471EF6" w:rsidRDefault="00356D1D" w:rsidP="00356D1D">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4,188</w:t>
            </w:r>
          </w:p>
        </w:tc>
        <w:tc>
          <w:tcPr>
            <w:tcW w:w="1210" w:type="dxa"/>
          </w:tcPr>
          <w:p w14:paraId="59D09505" w14:textId="1AFBBA15" w:rsidR="004C48A5" w:rsidRPr="006C115D" w:rsidRDefault="004C48A5" w:rsidP="00356D1D">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6C115D">
              <w:rPr>
                <w:i/>
                <w:sz w:val="18"/>
                <w:szCs w:val="18"/>
                <w:lang w:val="en-GB"/>
              </w:rPr>
              <w:t>0,</w:t>
            </w:r>
            <w:r w:rsidR="00356D1D">
              <w:rPr>
                <w:i/>
                <w:sz w:val="18"/>
                <w:szCs w:val="18"/>
                <w:lang w:val="en-GB"/>
              </w:rPr>
              <w:t>046</w:t>
            </w:r>
          </w:p>
        </w:tc>
        <w:tc>
          <w:tcPr>
            <w:tcW w:w="1210" w:type="dxa"/>
          </w:tcPr>
          <w:p w14:paraId="31F1D46F" w14:textId="7792B021" w:rsidR="004C48A5" w:rsidRPr="00471EF6" w:rsidRDefault="00356D1D" w:rsidP="00356D1D">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4,691</w:t>
            </w:r>
          </w:p>
        </w:tc>
        <w:tc>
          <w:tcPr>
            <w:tcW w:w="1210" w:type="dxa"/>
          </w:tcPr>
          <w:p w14:paraId="256F6438" w14:textId="2AC2B58B" w:rsidR="004C48A5" w:rsidRPr="00471EF6" w:rsidRDefault="00356D1D" w:rsidP="00356D1D">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4,664</w:t>
            </w:r>
          </w:p>
        </w:tc>
        <w:tc>
          <w:tcPr>
            <w:tcW w:w="1211" w:type="dxa"/>
          </w:tcPr>
          <w:p w14:paraId="3D646D2B" w14:textId="1A7F4651" w:rsidR="004C48A5" w:rsidRPr="006C115D" w:rsidRDefault="004C48A5" w:rsidP="00356D1D">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6C115D">
              <w:rPr>
                <w:i/>
                <w:sz w:val="18"/>
                <w:szCs w:val="18"/>
                <w:lang w:val="en-GB"/>
              </w:rPr>
              <w:t>0,</w:t>
            </w:r>
            <w:r w:rsidR="00356D1D">
              <w:rPr>
                <w:i/>
                <w:sz w:val="18"/>
                <w:szCs w:val="18"/>
                <w:lang w:val="en-GB"/>
              </w:rPr>
              <w:t>665</w:t>
            </w:r>
          </w:p>
        </w:tc>
      </w:tr>
      <w:tr w:rsidR="004C48A5" w14:paraId="269367F5" w14:textId="77777777" w:rsidTr="00611420">
        <w:tc>
          <w:tcPr>
            <w:cnfStyle w:val="001000000000" w:firstRow="0" w:lastRow="0" w:firstColumn="1" w:lastColumn="0" w:oddVBand="0" w:evenVBand="0" w:oddHBand="0" w:evenHBand="0" w:firstRowFirstColumn="0" w:firstRowLastColumn="0" w:lastRowFirstColumn="0" w:lastRowLastColumn="0"/>
            <w:tcW w:w="1951" w:type="dxa"/>
          </w:tcPr>
          <w:p w14:paraId="79E8B0C9" w14:textId="3BDD83F3" w:rsidR="004C48A5" w:rsidRPr="00471EF6" w:rsidRDefault="00517F50" w:rsidP="00187E10">
            <w:pPr>
              <w:rPr>
                <w:sz w:val="18"/>
                <w:szCs w:val="18"/>
                <w:lang w:val="en-GB"/>
              </w:rPr>
            </w:pPr>
            <w:r>
              <w:rPr>
                <w:sz w:val="18"/>
                <w:szCs w:val="18"/>
                <w:lang w:val="en-GB"/>
              </w:rPr>
              <w:t>a</w:t>
            </w:r>
            <w:r w:rsidR="004C48A5">
              <w:rPr>
                <w:sz w:val="18"/>
                <w:szCs w:val="18"/>
                <w:lang w:val="en-GB"/>
              </w:rPr>
              <w:t>BMD</w:t>
            </w:r>
          </w:p>
        </w:tc>
        <w:tc>
          <w:tcPr>
            <w:tcW w:w="1210" w:type="dxa"/>
          </w:tcPr>
          <w:p w14:paraId="6ED30A59" w14:textId="5D5B0E02" w:rsidR="004C48A5" w:rsidRPr="00471EF6" w:rsidRDefault="004C48A5" w:rsidP="00356D1D">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w:t>
            </w:r>
            <w:r w:rsidR="00356D1D">
              <w:rPr>
                <w:sz w:val="18"/>
                <w:szCs w:val="18"/>
                <w:lang w:val="en-GB"/>
              </w:rPr>
              <w:t>,814</w:t>
            </w:r>
          </w:p>
        </w:tc>
        <w:tc>
          <w:tcPr>
            <w:tcW w:w="1210" w:type="dxa"/>
          </w:tcPr>
          <w:p w14:paraId="3140F7F0" w14:textId="366C6A13" w:rsidR="004C48A5" w:rsidRPr="00471EF6" w:rsidRDefault="004C48A5" w:rsidP="00356D1D">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w:t>
            </w:r>
            <w:r w:rsidR="00356D1D">
              <w:rPr>
                <w:sz w:val="18"/>
                <w:szCs w:val="18"/>
                <w:lang w:val="en-GB"/>
              </w:rPr>
              <w:t>819</w:t>
            </w:r>
          </w:p>
        </w:tc>
        <w:tc>
          <w:tcPr>
            <w:tcW w:w="1210" w:type="dxa"/>
          </w:tcPr>
          <w:p w14:paraId="2474728E" w14:textId="3BF22904" w:rsidR="004C48A5" w:rsidRPr="006C115D" w:rsidRDefault="004C48A5" w:rsidP="00356D1D">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0,</w:t>
            </w:r>
            <w:r w:rsidR="00356D1D">
              <w:rPr>
                <w:i/>
                <w:sz w:val="18"/>
                <w:szCs w:val="18"/>
                <w:lang w:val="en-GB"/>
              </w:rPr>
              <w:t>381</w:t>
            </w:r>
          </w:p>
        </w:tc>
        <w:tc>
          <w:tcPr>
            <w:tcW w:w="1210" w:type="dxa"/>
          </w:tcPr>
          <w:p w14:paraId="225B6630" w14:textId="08BED6B7" w:rsidR="004C48A5" w:rsidRPr="00471EF6" w:rsidRDefault="004C48A5" w:rsidP="00356D1D">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w:t>
            </w:r>
            <w:r w:rsidR="00356D1D">
              <w:rPr>
                <w:sz w:val="18"/>
                <w:szCs w:val="18"/>
                <w:lang w:val="en-GB"/>
              </w:rPr>
              <w:t>858</w:t>
            </w:r>
          </w:p>
        </w:tc>
        <w:tc>
          <w:tcPr>
            <w:tcW w:w="1210" w:type="dxa"/>
          </w:tcPr>
          <w:p w14:paraId="276C068C" w14:textId="1CEE16F6" w:rsidR="004C48A5" w:rsidRPr="00471EF6" w:rsidRDefault="004C48A5" w:rsidP="00356D1D">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w:t>
            </w:r>
            <w:r w:rsidR="00356D1D">
              <w:rPr>
                <w:sz w:val="18"/>
                <w:szCs w:val="18"/>
                <w:lang w:val="en-GB"/>
              </w:rPr>
              <w:t>841</w:t>
            </w:r>
          </w:p>
        </w:tc>
        <w:tc>
          <w:tcPr>
            <w:tcW w:w="1211" w:type="dxa"/>
          </w:tcPr>
          <w:p w14:paraId="7643EACB" w14:textId="1D934E85" w:rsidR="004C48A5" w:rsidRPr="006C115D" w:rsidRDefault="004C48A5" w:rsidP="00356D1D">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0,</w:t>
            </w:r>
            <w:r w:rsidR="00356D1D">
              <w:rPr>
                <w:i/>
                <w:sz w:val="18"/>
                <w:szCs w:val="18"/>
                <w:lang w:val="en-GB"/>
              </w:rPr>
              <w:t>049</w:t>
            </w:r>
          </w:p>
        </w:tc>
      </w:tr>
      <w:tr w:rsidR="0005383F" w14:paraId="78308CE2" w14:textId="77777777" w:rsidTr="00820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3771325" w14:textId="1625F13C" w:rsidR="0005383F" w:rsidRDefault="0005383F" w:rsidP="0005383F">
            <w:pPr>
              <w:rPr>
                <w:sz w:val="18"/>
                <w:szCs w:val="18"/>
                <w:lang w:val="en-GB"/>
              </w:rPr>
            </w:pPr>
            <w:r>
              <w:rPr>
                <w:sz w:val="18"/>
                <w:szCs w:val="18"/>
                <w:lang w:val="en-GB"/>
              </w:rPr>
              <w:t>Z-scores: BMD</w:t>
            </w:r>
          </w:p>
        </w:tc>
        <w:tc>
          <w:tcPr>
            <w:tcW w:w="1210" w:type="dxa"/>
          </w:tcPr>
          <w:p w14:paraId="6A2654D2" w14:textId="77777777" w:rsidR="0005383F" w:rsidRDefault="0005383F" w:rsidP="008204A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-0,266</w:t>
            </w:r>
          </w:p>
        </w:tc>
        <w:tc>
          <w:tcPr>
            <w:tcW w:w="1210" w:type="dxa"/>
          </w:tcPr>
          <w:p w14:paraId="5B90E915" w14:textId="77777777" w:rsidR="0005383F" w:rsidRDefault="0005383F" w:rsidP="008204A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-0,244</w:t>
            </w:r>
          </w:p>
        </w:tc>
        <w:tc>
          <w:tcPr>
            <w:tcW w:w="1210" w:type="dxa"/>
          </w:tcPr>
          <w:p w14:paraId="614AC0F0" w14:textId="77777777" w:rsidR="0005383F" w:rsidRPr="006C115D" w:rsidRDefault="0005383F" w:rsidP="008204AE">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6C115D">
              <w:rPr>
                <w:i/>
                <w:sz w:val="18"/>
                <w:szCs w:val="18"/>
                <w:lang w:val="en-GB"/>
              </w:rPr>
              <w:t>0,598</w:t>
            </w:r>
          </w:p>
        </w:tc>
        <w:tc>
          <w:tcPr>
            <w:tcW w:w="1210" w:type="dxa"/>
          </w:tcPr>
          <w:p w14:paraId="0BD8B020" w14:textId="77777777" w:rsidR="0005383F" w:rsidRDefault="0005383F" w:rsidP="008204A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-0,487</w:t>
            </w:r>
          </w:p>
        </w:tc>
        <w:tc>
          <w:tcPr>
            <w:tcW w:w="1210" w:type="dxa"/>
          </w:tcPr>
          <w:p w14:paraId="12E9758C" w14:textId="77777777" w:rsidR="0005383F" w:rsidRDefault="0005383F" w:rsidP="008204A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-0,760</w:t>
            </w:r>
          </w:p>
        </w:tc>
        <w:tc>
          <w:tcPr>
            <w:tcW w:w="1211" w:type="dxa"/>
          </w:tcPr>
          <w:p w14:paraId="214F3EFF" w14:textId="77777777" w:rsidR="0005383F" w:rsidRPr="006C115D" w:rsidRDefault="0005383F" w:rsidP="008204AE">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6C115D">
              <w:rPr>
                <w:i/>
                <w:sz w:val="18"/>
                <w:szCs w:val="18"/>
                <w:lang w:val="en-GB"/>
              </w:rPr>
              <w:t>0,012</w:t>
            </w:r>
          </w:p>
        </w:tc>
      </w:tr>
      <w:tr w:rsidR="004C48A5" w:rsidRPr="0052143C" w14:paraId="3F903CB5" w14:textId="77777777" w:rsidTr="00611420">
        <w:tc>
          <w:tcPr>
            <w:cnfStyle w:val="001000000000" w:firstRow="0" w:lastRow="0" w:firstColumn="1" w:lastColumn="0" w:oddVBand="0" w:evenVBand="0" w:oddHBand="0" w:evenHBand="0" w:firstRowFirstColumn="0" w:firstRowLastColumn="0" w:lastRowFirstColumn="0" w:lastRowLastColumn="0"/>
            <w:tcW w:w="9212" w:type="dxa"/>
            <w:gridSpan w:val="7"/>
            <w:shd w:val="clear" w:color="auto" w:fill="D9D9D9" w:themeFill="background1" w:themeFillShade="D9"/>
          </w:tcPr>
          <w:p w14:paraId="618B7EE7" w14:textId="15537DA9" w:rsidR="004C48A5" w:rsidRPr="0052143C" w:rsidRDefault="004C48A5" w:rsidP="00BB1776">
            <w:pPr>
              <w:jc w:val="center"/>
              <w:rPr>
                <w:b w:val="0"/>
                <w:sz w:val="18"/>
                <w:szCs w:val="18"/>
                <w:lang w:val="en-GB"/>
              </w:rPr>
            </w:pPr>
            <w:r>
              <w:rPr>
                <w:sz w:val="18"/>
                <w:szCs w:val="18"/>
                <w:lang w:val="en-GB"/>
              </w:rPr>
              <w:t xml:space="preserve">DXA </w:t>
            </w:r>
            <w:r w:rsidR="00BB1776">
              <w:rPr>
                <w:sz w:val="18"/>
                <w:szCs w:val="18"/>
                <w:lang w:val="en-GB"/>
              </w:rPr>
              <w:t>Lumbar s</w:t>
            </w:r>
            <w:r w:rsidRPr="0052143C">
              <w:rPr>
                <w:sz w:val="18"/>
                <w:szCs w:val="18"/>
                <w:lang w:val="en-GB"/>
              </w:rPr>
              <w:t>pine</w:t>
            </w:r>
          </w:p>
        </w:tc>
      </w:tr>
      <w:tr w:rsidR="0014195C" w:rsidRPr="007E1F7D" w14:paraId="290299EE" w14:textId="77777777" w:rsidTr="003C1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7AD6245" w14:textId="77777777" w:rsidR="0014195C" w:rsidRPr="007E1F7D" w:rsidRDefault="0014195C" w:rsidP="003C1CD5">
            <w:pPr>
              <w:rPr>
                <w:b w:val="0"/>
                <w:sz w:val="18"/>
                <w:szCs w:val="18"/>
                <w:lang w:val="en-GB"/>
              </w:rPr>
            </w:pPr>
            <w:r>
              <w:rPr>
                <w:b w:val="0"/>
                <w:sz w:val="18"/>
                <w:szCs w:val="18"/>
                <w:lang w:val="en-GB"/>
              </w:rPr>
              <w:t>Location</w:t>
            </w:r>
          </w:p>
        </w:tc>
        <w:tc>
          <w:tcPr>
            <w:tcW w:w="1210" w:type="dxa"/>
          </w:tcPr>
          <w:p w14:paraId="719FB09A"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 L</w:t>
            </w:r>
            <w:r w:rsidRPr="007E1F7D">
              <w:rPr>
                <w:b/>
                <w:sz w:val="18"/>
                <w:szCs w:val="18"/>
                <w:lang w:val="en-GB"/>
              </w:rPr>
              <w:t xml:space="preserve"> </w:t>
            </w:r>
          </w:p>
        </w:tc>
        <w:tc>
          <w:tcPr>
            <w:tcW w:w="1210" w:type="dxa"/>
          </w:tcPr>
          <w:p w14:paraId="16470559"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 xml:space="preserve">before </w:t>
            </w:r>
            <w:r w:rsidRPr="007E1F7D">
              <w:rPr>
                <w:b/>
                <w:sz w:val="18"/>
                <w:szCs w:val="18"/>
                <w:lang w:val="en-GB"/>
              </w:rPr>
              <w:t>C</w:t>
            </w:r>
            <w:r>
              <w:rPr>
                <w:b/>
                <w:sz w:val="18"/>
                <w:szCs w:val="18"/>
                <w:lang w:val="en-GB"/>
              </w:rPr>
              <w:t>SH</w:t>
            </w:r>
            <w:r w:rsidRPr="007E1F7D">
              <w:rPr>
                <w:b/>
                <w:sz w:val="18"/>
                <w:szCs w:val="18"/>
                <w:lang w:val="en-GB"/>
              </w:rPr>
              <w:t xml:space="preserve"> </w:t>
            </w:r>
          </w:p>
        </w:tc>
        <w:tc>
          <w:tcPr>
            <w:tcW w:w="1210" w:type="dxa"/>
          </w:tcPr>
          <w:p w14:paraId="3DA4F57C"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P (L)</w:t>
            </w:r>
          </w:p>
        </w:tc>
        <w:tc>
          <w:tcPr>
            <w:tcW w:w="1210" w:type="dxa"/>
          </w:tcPr>
          <w:p w14:paraId="7C6A5AD4"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w:t>
            </w:r>
            <w:r w:rsidRPr="007E1F7D">
              <w:rPr>
                <w:b/>
                <w:sz w:val="18"/>
                <w:szCs w:val="18"/>
                <w:lang w:val="en-GB"/>
              </w:rPr>
              <w:t xml:space="preserve"> CA</w:t>
            </w:r>
          </w:p>
        </w:tc>
        <w:tc>
          <w:tcPr>
            <w:tcW w:w="1210" w:type="dxa"/>
          </w:tcPr>
          <w:p w14:paraId="172B6D7B"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 CSH</w:t>
            </w:r>
          </w:p>
        </w:tc>
        <w:tc>
          <w:tcPr>
            <w:tcW w:w="1211" w:type="dxa"/>
          </w:tcPr>
          <w:p w14:paraId="7813C1E6"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P (CA)</w:t>
            </w:r>
          </w:p>
        </w:tc>
      </w:tr>
      <w:tr w:rsidR="004C48A5" w14:paraId="3FF197BE" w14:textId="77777777" w:rsidTr="00611420">
        <w:tc>
          <w:tcPr>
            <w:cnfStyle w:val="001000000000" w:firstRow="0" w:lastRow="0" w:firstColumn="1" w:lastColumn="0" w:oddVBand="0" w:evenVBand="0" w:oddHBand="0" w:evenHBand="0" w:firstRowFirstColumn="0" w:firstRowLastColumn="0" w:lastRowFirstColumn="0" w:lastRowLastColumn="0"/>
            <w:tcW w:w="1951" w:type="dxa"/>
          </w:tcPr>
          <w:p w14:paraId="11087DD3" w14:textId="59A74898" w:rsidR="004C48A5" w:rsidRPr="00834B64" w:rsidRDefault="004C48A5" w:rsidP="00187E10">
            <w:pPr>
              <w:rPr>
                <w:i/>
                <w:sz w:val="18"/>
                <w:szCs w:val="18"/>
                <w:lang w:val="en-GB"/>
              </w:rPr>
            </w:pPr>
            <w:r w:rsidRPr="00834B64">
              <w:rPr>
                <w:i/>
                <w:sz w:val="18"/>
                <w:szCs w:val="18"/>
                <w:lang w:val="en-GB"/>
              </w:rPr>
              <w:t>Total A</w:t>
            </w:r>
            <w:r w:rsidR="002E182F">
              <w:rPr>
                <w:i/>
                <w:sz w:val="18"/>
                <w:szCs w:val="18"/>
                <w:lang w:val="en-GB"/>
              </w:rPr>
              <w:t>rea</w:t>
            </w:r>
          </w:p>
        </w:tc>
        <w:tc>
          <w:tcPr>
            <w:tcW w:w="1210" w:type="dxa"/>
          </w:tcPr>
          <w:p w14:paraId="0DCFC732" w14:textId="77777777" w:rsidR="004C48A5" w:rsidRPr="00471EF6" w:rsidRDefault="004C48A5" w:rsidP="00187E1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56,473</w:t>
            </w:r>
          </w:p>
        </w:tc>
        <w:tc>
          <w:tcPr>
            <w:tcW w:w="1210" w:type="dxa"/>
          </w:tcPr>
          <w:p w14:paraId="77197DD6" w14:textId="77777777" w:rsidR="004C48A5" w:rsidRPr="00471EF6" w:rsidRDefault="004C48A5" w:rsidP="00187E1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56,789</w:t>
            </w:r>
          </w:p>
        </w:tc>
        <w:tc>
          <w:tcPr>
            <w:tcW w:w="1210" w:type="dxa"/>
          </w:tcPr>
          <w:p w14:paraId="27FD6F2F" w14:textId="77777777" w:rsidR="004C48A5" w:rsidRPr="006C115D" w:rsidRDefault="004C48A5" w:rsidP="00187E10">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0,254</w:t>
            </w:r>
          </w:p>
        </w:tc>
        <w:tc>
          <w:tcPr>
            <w:tcW w:w="1210" w:type="dxa"/>
          </w:tcPr>
          <w:p w14:paraId="409F1C0A" w14:textId="77777777" w:rsidR="004C48A5" w:rsidRPr="00471EF6" w:rsidRDefault="004C48A5" w:rsidP="00187E1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58,099</w:t>
            </w:r>
          </w:p>
        </w:tc>
        <w:tc>
          <w:tcPr>
            <w:tcW w:w="1210" w:type="dxa"/>
          </w:tcPr>
          <w:p w14:paraId="33038DCA" w14:textId="77777777" w:rsidR="004C48A5" w:rsidRPr="00471EF6" w:rsidRDefault="004C48A5" w:rsidP="00187E1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59,474</w:t>
            </w:r>
          </w:p>
        </w:tc>
        <w:tc>
          <w:tcPr>
            <w:tcW w:w="1211" w:type="dxa"/>
          </w:tcPr>
          <w:p w14:paraId="2A635646" w14:textId="77777777" w:rsidR="004C48A5" w:rsidRPr="006C115D" w:rsidRDefault="004C48A5" w:rsidP="00187E10">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0,001</w:t>
            </w:r>
          </w:p>
        </w:tc>
      </w:tr>
      <w:tr w:rsidR="004C48A5" w14:paraId="1D537895" w14:textId="77777777" w:rsidTr="00611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2572579" w14:textId="0B71E754" w:rsidR="004C48A5" w:rsidRPr="00471EF6" w:rsidRDefault="00517F50" w:rsidP="00187E10">
            <w:pPr>
              <w:rPr>
                <w:sz w:val="18"/>
                <w:szCs w:val="18"/>
                <w:lang w:val="en-GB"/>
              </w:rPr>
            </w:pPr>
            <w:r>
              <w:rPr>
                <w:sz w:val="18"/>
                <w:szCs w:val="18"/>
                <w:lang w:val="en-GB"/>
              </w:rPr>
              <w:t>a</w:t>
            </w:r>
            <w:r w:rsidR="004C48A5">
              <w:rPr>
                <w:sz w:val="18"/>
                <w:szCs w:val="18"/>
                <w:lang w:val="en-GB"/>
              </w:rPr>
              <w:t>BMC</w:t>
            </w:r>
          </w:p>
        </w:tc>
        <w:tc>
          <w:tcPr>
            <w:tcW w:w="1210" w:type="dxa"/>
          </w:tcPr>
          <w:p w14:paraId="54455771" w14:textId="77777777" w:rsidR="004C48A5" w:rsidRPr="00471EF6" w:rsidRDefault="004C48A5" w:rsidP="00187E10">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53,443</w:t>
            </w:r>
          </w:p>
        </w:tc>
        <w:tc>
          <w:tcPr>
            <w:tcW w:w="1210" w:type="dxa"/>
          </w:tcPr>
          <w:p w14:paraId="033864A5" w14:textId="77777777" w:rsidR="004C48A5" w:rsidRPr="00471EF6" w:rsidRDefault="004C48A5" w:rsidP="00187E10">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54,435</w:t>
            </w:r>
          </w:p>
        </w:tc>
        <w:tc>
          <w:tcPr>
            <w:tcW w:w="1210" w:type="dxa"/>
          </w:tcPr>
          <w:p w14:paraId="2579B235" w14:textId="77777777" w:rsidR="004C48A5" w:rsidRPr="006C115D" w:rsidRDefault="004C48A5" w:rsidP="00187E10">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6C115D">
              <w:rPr>
                <w:i/>
                <w:sz w:val="18"/>
                <w:szCs w:val="18"/>
                <w:lang w:val="en-GB"/>
              </w:rPr>
              <w:t>0,022</w:t>
            </w:r>
          </w:p>
        </w:tc>
        <w:tc>
          <w:tcPr>
            <w:tcW w:w="1210" w:type="dxa"/>
          </w:tcPr>
          <w:p w14:paraId="48B671CC" w14:textId="77777777" w:rsidR="004C48A5" w:rsidRPr="00471EF6" w:rsidRDefault="004C48A5" w:rsidP="00187E10">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52,478</w:t>
            </w:r>
          </w:p>
        </w:tc>
        <w:tc>
          <w:tcPr>
            <w:tcW w:w="1210" w:type="dxa"/>
          </w:tcPr>
          <w:p w14:paraId="1A388816" w14:textId="77777777" w:rsidR="004C48A5" w:rsidRPr="00471EF6" w:rsidRDefault="004C48A5" w:rsidP="00187E10">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54,305</w:t>
            </w:r>
          </w:p>
        </w:tc>
        <w:tc>
          <w:tcPr>
            <w:tcW w:w="1211" w:type="dxa"/>
          </w:tcPr>
          <w:p w14:paraId="05C979D4" w14:textId="77777777" w:rsidR="004C48A5" w:rsidRPr="006C115D" w:rsidRDefault="004C48A5" w:rsidP="00187E10">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6C115D">
              <w:rPr>
                <w:i/>
                <w:sz w:val="18"/>
                <w:szCs w:val="18"/>
                <w:lang w:val="en-GB"/>
              </w:rPr>
              <w:t>0,011</w:t>
            </w:r>
          </w:p>
        </w:tc>
      </w:tr>
      <w:tr w:rsidR="004C48A5" w14:paraId="2C67CABF" w14:textId="77777777" w:rsidTr="00611420">
        <w:tc>
          <w:tcPr>
            <w:cnfStyle w:val="001000000000" w:firstRow="0" w:lastRow="0" w:firstColumn="1" w:lastColumn="0" w:oddVBand="0" w:evenVBand="0" w:oddHBand="0" w:evenHBand="0" w:firstRowFirstColumn="0" w:firstRowLastColumn="0" w:lastRowFirstColumn="0" w:lastRowLastColumn="0"/>
            <w:tcW w:w="1951" w:type="dxa"/>
          </w:tcPr>
          <w:p w14:paraId="2645B94F" w14:textId="69FA800B" w:rsidR="004C48A5" w:rsidRPr="00471EF6" w:rsidRDefault="00517F50" w:rsidP="00187E10">
            <w:pPr>
              <w:rPr>
                <w:sz w:val="18"/>
                <w:szCs w:val="18"/>
                <w:lang w:val="en-GB"/>
              </w:rPr>
            </w:pPr>
            <w:r>
              <w:rPr>
                <w:sz w:val="18"/>
                <w:szCs w:val="18"/>
                <w:lang w:val="en-GB"/>
              </w:rPr>
              <w:t>a</w:t>
            </w:r>
            <w:r w:rsidR="004C48A5">
              <w:rPr>
                <w:sz w:val="18"/>
                <w:szCs w:val="18"/>
                <w:lang w:val="en-GB"/>
              </w:rPr>
              <w:t>BMD</w:t>
            </w:r>
          </w:p>
        </w:tc>
        <w:tc>
          <w:tcPr>
            <w:tcW w:w="1210" w:type="dxa"/>
          </w:tcPr>
          <w:p w14:paraId="5BE2C29F" w14:textId="77777777" w:rsidR="004C48A5" w:rsidRPr="00471EF6" w:rsidRDefault="004C48A5" w:rsidP="00187E1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0,943</w:t>
            </w:r>
          </w:p>
        </w:tc>
        <w:tc>
          <w:tcPr>
            <w:tcW w:w="1210" w:type="dxa"/>
          </w:tcPr>
          <w:p w14:paraId="25512D13" w14:textId="77777777" w:rsidR="004C48A5" w:rsidRPr="00471EF6" w:rsidRDefault="004C48A5" w:rsidP="00187E1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0,956</w:t>
            </w:r>
          </w:p>
        </w:tc>
        <w:tc>
          <w:tcPr>
            <w:tcW w:w="1210" w:type="dxa"/>
          </w:tcPr>
          <w:p w14:paraId="363AE72D" w14:textId="77777777" w:rsidR="004C48A5" w:rsidRPr="006C115D" w:rsidRDefault="004C48A5" w:rsidP="00187E10">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0,007</w:t>
            </w:r>
          </w:p>
        </w:tc>
        <w:tc>
          <w:tcPr>
            <w:tcW w:w="1210" w:type="dxa"/>
          </w:tcPr>
          <w:p w14:paraId="0CC388CF" w14:textId="77777777" w:rsidR="004C48A5" w:rsidRPr="00471EF6" w:rsidRDefault="004C48A5" w:rsidP="00187E1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0,901</w:t>
            </w:r>
          </w:p>
        </w:tc>
        <w:tc>
          <w:tcPr>
            <w:tcW w:w="1210" w:type="dxa"/>
          </w:tcPr>
          <w:p w14:paraId="44643069" w14:textId="77777777" w:rsidR="004C48A5" w:rsidRPr="00471EF6" w:rsidRDefault="004C48A5" w:rsidP="00187E1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0,912</w:t>
            </w:r>
          </w:p>
        </w:tc>
        <w:tc>
          <w:tcPr>
            <w:tcW w:w="1211" w:type="dxa"/>
          </w:tcPr>
          <w:p w14:paraId="52A2035C" w14:textId="77777777" w:rsidR="004C48A5" w:rsidRPr="006C115D" w:rsidRDefault="004C48A5" w:rsidP="00187E10">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0,345</w:t>
            </w:r>
          </w:p>
        </w:tc>
      </w:tr>
      <w:tr w:rsidR="00BB1776" w14:paraId="7ACEC5A5" w14:textId="77777777" w:rsidTr="00820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0903B03" w14:textId="71A7B822" w:rsidR="00BB1776" w:rsidRDefault="00BB1776" w:rsidP="008204AE">
            <w:pPr>
              <w:rPr>
                <w:sz w:val="18"/>
                <w:szCs w:val="18"/>
                <w:lang w:val="en-GB"/>
              </w:rPr>
            </w:pPr>
            <w:r>
              <w:rPr>
                <w:sz w:val="18"/>
                <w:szCs w:val="18"/>
                <w:lang w:val="en-GB"/>
              </w:rPr>
              <w:t>Z-score: BMD</w:t>
            </w:r>
          </w:p>
        </w:tc>
        <w:tc>
          <w:tcPr>
            <w:tcW w:w="1210" w:type="dxa"/>
          </w:tcPr>
          <w:p w14:paraId="4834CD03" w14:textId="77777777" w:rsidR="00BB1776" w:rsidRDefault="00BB1776" w:rsidP="008204A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-0,377</w:t>
            </w:r>
          </w:p>
        </w:tc>
        <w:tc>
          <w:tcPr>
            <w:tcW w:w="1210" w:type="dxa"/>
          </w:tcPr>
          <w:p w14:paraId="2CA9CDA6" w14:textId="77777777" w:rsidR="00BB1776" w:rsidRDefault="00BB1776" w:rsidP="008204A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-0,381</w:t>
            </w:r>
          </w:p>
        </w:tc>
        <w:tc>
          <w:tcPr>
            <w:tcW w:w="1210" w:type="dxa"/>
          </w:tcPr>
          <w:p w14:paraId="09431FD1" w14:textId="77777777" w:rsidR="00BB1776" w:rsidRPr="006C115D" w:rsidRDefault="00BB1776" w:rsidP="008204AE">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6C115D">
              <w:rPr>
                <w:i/>
                <w:sz w:val="18"/>
                <w:szCs w:val="18"/>
                <w:lang w:val="en-GB"/>
              </w:rPr>
              <w:t>0,968</w:t>
            </w:r>
          </w:p>
        </w:tc>
        <w:tc>
          <w:tcPr>
            <w:tcW w:w="1210" w:type="dxa"/>
          </w:tcPr>
          <w:p w14:paraId="6F28457A" w14:textId="77777777" w:rsidR="00BB1776" w:rsidRDefault="00BB1776" w:rsidP="008204A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-0,457</w:t>
            </w:r>
          </w:p>
        </w:tc>
        <w:tc>
          <w:tcPr>
            <w:tcW w:w="1210" w:type="dxa"/>
          </w:tcPr>
          <w:p w14:paraId="76FE4E21" w14:textId="77777777" w:rsidR="00BB1776" w:rsidRDefault="00BB1776" w:rsidP="008204A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-0,864</w:t>
            </w:r>
          </w:p>
        </w:tc>
        <w:tc>
          <w:tcPr>
            <w:tcW w:w="1211" w:type="dxa"/>
          </w:tcPr>
          <w:p w14:paraId="15084F16" w14:textId="77777777" w:rsidR="00BB1776" w:rsidRPr="006C115D" w:rsidRDefault="00BB1776" w:rsidP="008204AE">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6C115D">
              <w:rPr>
                <w:i/>
                <w:sz w:val="18"/>
                <w:szCs w:val="18"/>
                <w:lang w:val="en-GB"/>
              </w:rPr>
              <w:t>0,015</w:t>
            </w:r>
          </w:p>
        </w:tc>
      </w:tr>
      <w:tr w:rsidR="004C48A5" w:rsidRPr="0052143C" w14:paraId="5349426D" w14:textId="77777777" w:rsidTr="00611420">
        <w:tc>
          <w:tcPr>
            <w:cnfStyle w:val="001000000000" w:firstRow="0" w:lastRow="0" w:firstColumn="1" w:lastColumn="0" w:oddVBand="0" w:evenVBand="0" w:oddHBand="0" w:evenHBand="0" w:firstRowFirstColumn="0" w:firstRowLastColumn="0" w:lastRowFirstColumn="0" w:lastRowLastColumn="0"/>
            <w:tcW w:w="9212" w:type="dxa"/>
            <w:gridSpan w:val="7"/>
            <w:shd w:val="clear" w:color="auto" w:fill="D9D9D9" w:themeFill="background1" w:themeFillShade="D9"/>
          </w:tcPr>
          <w:p w14:paraId="24D9D190" w14:textId="77777777" w:rsidR="004C48A5" w:rsidRPr="0052143C" w:rsidRDefault="004C48A5" w:rsidP="00187E10">
            <w:pPr>
              <w:jc w:val="center"/>
              <w:rPr>
                <w:b w:val="0"/>
                <w:sz w:val="18"/>
                <w:szCs w:val="18"/>
                <w:lang w:val="en-GB"/>
              </w:rPr>
            </w:pPr>
            <w:r w:rsidRPr="0052143C">
              <w:rPr>
                <w:sz w:val="18"/>
                <w:szCs w:val="18"/>
                <w:lang w:val="en-GB"/>
              </w:rPr>
              <w:t>DXA Whole body</w:t>
            </w:r>
          </w:p>
        </w:tc>
      </w:tr>
      <w:tr w:rsidR="0014195C" w:rsidRPr="007E1F7D" w14:paraId="2A361EFC" w14:textId="77777777" w:rsidTr="003C1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B1D9BE9" w14:textId="77777777" w:rsidR="0014195C" w:rsidRPr="007E1F7D" w:rsidRDefault="0014195C" w:rsidP="003C1CD5">
            <w:pPr>
              <w:rPr>
                <w:b w:val="0"/>
                <w:sz w:val="18"/>
                <w:szCs w:val="18"/>
                <w:lang w:val="en-GB"/>
              </w:rPr>
            </w:pPr>
            <w:r>
              <w:rPr>
                <w:b w:val="0"/>
                <w:sz w:val="18"/>
                <w:szCs w:val="18"/>
                <w:lang w:val="en-GB"/>
              </w:rPr>
              <w:t>Location</w:t>
            </w:r>
          </w:p>
        </w:tc>
        <w:tc>
          <w:tcPr>
            <w:tcW w:w="1210" w:type="dxa"/>
          </w:tcPr>
          <w:p w14:paraId="79F316C7"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 L</w:t>
            </w:r>
            <w:r w:rsidRPr="007E1F7D">
              <w:rPr>
                <w:b/>
                <w:sz w:val="18"/>
                <w:szCs w:val="18"/>
                <w:lang w:val="en-GB"/>
              </w:rPr>
              <w:t xml:space="preserve"> </w:t>
            </w:r>
          </w:p>
        </w:tc>
        <w:tc>
          <w:tcPr>
            <w:tcW w:w="1210" w:type="dxa"/>
          </w:tcPr>
          <w:p w14:paraId="7DBDC806"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 xml:space="preserve">before </w:t>
            </w:r>
            <w:r w:rsidRPr="007E1F7D">
              <w:rPr>
                <w:b/>
                <w:sz w:val="18"/>
                <w:szCs w:val="18"/>
                <w:lang w:val="en-GB"/>
              </w:rPr>
              <w:t>C</w:t>
            </w:r>
            <w:r>
              <w:rPr>
                <w:b/>
                <w:sz w:val="18"/>
                <w:szCs w:val="18"/>
                <w:lang w:val="en-GB"/>
              </w:rPr>
              <w:t>SH</w:t>
            </w:r>
            <w:r w:rsidRPr="007E1F7D">
              <w:rPr>
                <w:b/>
                <w:sz w:val="18"/>
                <w:szCs w:val="18"/>
                <w:lang w:val="en-GB"/>
              </w:rPr>
              <w:t xml:space="preserve"> </w:t>
            </w:r>
          </w:p>
        </w:tc>
        <w:tc>
          <w:tcPr>
            <w:tcW w:w="1210" w:type="dxa"/>
          </w:tcPr>
          <w:p w14:paraId="74AF9892"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P (L)</w:t>
            </w:r>
          </w:p>
        </w:tc>
        <w:tc>
          <w:tcPr>
            <w:tcW w:w="1210" w:type="dxa"/>
          </w:tcPr>
          <w:p w14:paraId="0F7D05C3"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w:t>
            </w:r>
            <w:r w:rsidRPr="007E1F7D">
              <w:rPr>
                <w:b/>
                <w:sz w:val="18"/>
                <w:szCs w:val="18"/>
                <w:lang w:val="en-GB"/>
              </w:rPr>
              <w:t xml:space="preserve"> CA</w:t>
            </w:r>
          </w:p>
        </w:tc>
        <w:tc>
          <w:tcPr>
            <w:tcW w:w="1210" w:type="dxa"/>
          </w:tcPr>
          <w:p w14:paraId="4A52D2E5"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 CSH</w:t>
            </w:r>
          </w:p>
        </w:tc>
        <w:tc>
          <w:tcPr>
            <w:tcW w:w="1211" w:type="dxa"/>
          </w:tcPr>
          <w:p w14:paraId="667178DA"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P (CA)</w:t>
            </w:r>
          </w:p>
        </w:tc>
      </w:tr>
      <w:tr w:rsidR="004C48A5" w14:paraId="2BFE3515" w14:textId="77777777" w:rsidTr="00611420">
        <w:tc>
          <w:tcPr>
            <w:cnfStyle w:val="001000000000" w:firstRow="0" w:lastRow="0" w:firstColumn="1" w:lastColumn="0" w:oddVBand="0" w:evenVBand="0" w:oddHBand="0" w:evenHBand="0" w:firstRowFirstColumn="0" w:firstRowLastColumn="0" w:lastRowFirstColumn="0" w:lastRowLastColumn="0"/>
            <w:tcW w:w="1951" w:type="dxa"/>
          </w:tcPr>
          <w:p w14:paraId="2808D008" w14:textId="7E7FB90C" w:rsidR="004C48A5" w:rsidRPr="00834B64" w:rsidRDefault="00BB1776" w:rsidP="00187E10">
            <w:pPr>
              <w:rPr>
                <w:i/>
                <w:sz w:val="18"/>
                <w:szCs w:val="18"/>
                <w:lang w:val="en-GB"/>
              </w:rPr>
            </w:pPr>
            <w:r>
              <w:rPr>
                <w:i/>
                <w:sz w:val="18"/>
                <w:szCs w:val="18"/>
                <w:lang w:val="en-GB"/>
              </w:rPr>
              <w:t>Whole body</w:t>
            </w:r>
            <w:r w:rsidR="004C48A5" w:rsidRPr="00834B64">
              <w:rPr>
                <w:i/>
                <w:sz w:val="18"/>
                <w:szCs w:val="18"/>
                <w:lang w:val="en-GB"/>
              </w:rPr>
              <w:t xml:space="preserve"> A</w:t>
            </w:r>
            <w:r w:rsidR="002E182F">
              <w:rPr>
                <w:i/>
                <w:sz w:val="18"/>
                <w:szCs w:val="18"/>
                <w:lang w:val="en-GB"/>
              </w:rPr>
              <w:t>rea</w:t>
            </w:r>
          </w:p>
        </w:tc>
        <w:tc>
          <w:tcPr>
            <w:tcW w:w="1210" w:type="dxa"/>
          </w:tcPr>
          <w:p w14:paraId="7521794D" w14:textId="77777777" w:rsidR="004C48A5" w:rsidRPr="00471EF6" w:rsidRDefault="004C48A5" w:rsidP="00187E1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1943,62</w:t>
            </w:r>
          </w:p>
        </w:tc>
        <w:tc>
          <w:tcPr>
            <w:tcW w:w="1210" w:type="dxa"/>
          </w:tcPr>
          <w:p w14:paraId="20377A3B" w14:textId="77777777" w:rsidR="004C48A5" w:rsidRPr="00471EF6" w:rsidRDefault="004C48A5" w:rsidP="00187E1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1972,39</w:t>
            </w:r>
          </w:p>
        </w:tc>
        <w:tc>
          <w:tcPr>
            <w:tcW w:w="1210" w:type="dxa"/>
          </w:tcPr>
          <w:p w14:paraId="0B58FBA2" w14:textId="77777777" w:rsidR="004C48A5" w:rsidRPr="006C115D" w:rsidRDefault="004C48A5" w:rsidP="00187E10">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0,001</w:t>
            </w:r>
          </w:p>
        </w:tc>
        <w:tc>
          <w:tcPr>
            <w:tcW w:w="1210" w:type="dxa"/>
          </w:tcPr>
          <w:p w14:paraId="6FBA334A" w14:textId="77777777" w:rsidR="004C48A5" w:rsidRPr="00471EF6" w:rsidRDefault="004C48A5" w:rsidP="00187E1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2113,26</w:t>
            </w:r>
          </w:p>
        </w:tc>
        <w:tc>
          <w:tcPr>
            <w:tcW w:w="1210" w:type="dxa"/>
          </w:tcPr>
          <w:p w14:paraId="554E9BFC" w14:textId="77777777" w:rsidR="004C48A5" w:rsidRPr="00471EF6" w:rsidRDefault="004C48A5" w:rsidP="00187E1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2177,54</w:t>
            </w:r>
          </w:p>
        </w:tc>
        <w:tc>
          <w:tcPr>
            <w:tcW w:w="1211" w:type="dxa"/>
          </w:tcPr>
          <w:p w14:paraId="43C3075C" w14:textId="77777777" w:rsidR="004C48A5" w:rsidRPr="006C115D" w:rsidRDefault="004C48A5" w:rsidP="00187E10">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0,003</w:t>
            </w:r>
          </w:p>
        </w:tc>
      </w:tr>
      <w:tr w:rsidR="004C48A5" w14:paraId="6B3F1429" w14:textId="77777777" w:rsidTr="00611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247263E" w14:textId="721E3A47" w:rsidR="004C48A5" w:rsidRPr="00471EF6" w:rsidRDefault="00517F50" w:rsidP="00187E10">
            <w:pPr>
              <w:rPr>
                <w:sz w:val="18"/>
                <w:szCs w:val="18"/>
                <w:lang w:val="en-GB"/>
              </w:rPr>
            </w:pPr>
            <w:r>
              <w:rPr>
                <w:sz w:val="18"/>
                <w:szCs w:val="18"/>
                <w:lang w:val="en-GB"/>
              </w:rPr>
              <w:t>a</w:t>
            </w:r>
            <w:r w:rsidR="004C48A5">
              <w:rPr>
                <w:sz w:val="18"/>
                <w:szCs w:val="18"/>
                <w:lang w:val="en-GB"/>
              </w:rPr>
              <w:t>BMC</w:t>
            </w:r>
          </w:p>
        </w:tc>
        <w:tc>
          <w:tcPr>
            <w:tcW w:w="1210" w:type="dxa"/>
          </w:tcPr>
          <w:p w14:paraId="0E92FA88" w14:textId="77777777" w:rsidR="004C48A5" w:rsidRPr="00471EF6" w:rsidRDefault="004C48A5" w:rsidP="00187E10">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1975,40</w:t>
            </w:r>
          </w:p>
        </w:tc>
        <w:tc>
          <w:tcPr>
            <w:tcW w:w="1210" w:type="dxa"/>
          </w:tcPr>
          <w:p w14:paraId="37A1FD5C" w14:textId="77777777" w:rsidR="004C48A5" w:rsidRPr="00471EF6" w:rsidRDefault="004C48A5" w:rsidP="00187E10">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2030,72</w:t>
            </w:r>
          </w:p>
        </w:tc>
        <w:tc>
          <w:tcPr>
            <w:tcW w:w="1210" w:type="dxa"/>
          </w:tcPr>
          <w:p w14:paraId="5C8196F9" w14:textId="77777777" w:rsidR="004C48A5" w:rsidRPr="006C115D" w:rsidRDefault="004C48A5" w:rsidP="00187E10">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6C115D">
              <w:rPr>
                <w:i/>
                <w:sz w:val="18"/>
                <w:szCs w:val="18"/>
                <w:lang w:val="en-GB"/>
              </w:rPr>
              <w:t>&lt;0,001</w:t>
            </w:r>
          </w:p>
        </w:tc>
        <w:tc>
          <w:tcPr>
            <w:tcW w:w="1210" w:type="dxa"/>
          </w:tcPr>
          <w:p w14:paraId="7289C584" w14:textId="77777777" w:rsidR="004C48A5" w:rsidRPr="00471EF6" w:rsidRDefault="004C48A5" w:rsidP="00187E10">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2139,26</w:t>
            </w:r>
          </w:p>
        </w:tc>
        <w:tc>
          <w:tcPr>
            <w:tcW w:w="1210" w:type="dxa"/>
          </w:tcPr>
          <w:p w14:paraId="2A6B4AD9" w14:textId="77777777" w:rsidR="004C48A5" w:rsidRPr="00471EF6" w:rsidRDefault="004C48A5" w:rsidP="00187E10">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2218,93</w:t>
            </w:r>
          </w:p>
        </w:tc>
        <w:tc>
          <w:tcPr>
            <w:tcW w:w="1211" w:type="dxa"/>
          </w:tcPr>
          <w:p w14:paraId="71231DE7" w14:textId="77777777" w:rsidR="004C48A5" w:rsidRPr="006C115D" w:rsidRDefault="004C48A5" w:rsidP="00187E10">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6C115D">
              <w:rPr>
                <w:i/>
                <w:sz w:val="18"/>
                <w:szCs w:val="18"/>
                <w:lang w:val="en-GB"/>
              </w:rPr>
              <w:t>0,002</w:t>
            </w:r>
          </w:p>
        </w:tc>
      </w:tr>
      <w:tr w:rsidR="004C48A5" w14:paraId="50FA8037" w14:textId="77777777" w:rsidTr="00611420">
        <w:tc>
          <w:tcPr>
            <w:cnfStyle w:val="001000000000" w:firstRow="0" w:lastRow="0" w:firstColumn="1" w:lastColumn="0" w:oddVBand="0" w:evenVBand="0" w:oddHBand="0" w:evenHBand="0" w:firstRowFirstColumn="0" w:firstRowLastColumn="0" w:lastRowFirstColumn="0" w:lastRowLastColumn="0"/>
            <w:tcW w:w="1951" w:type="dxa"/>
          </w:tcPr>
          <w:p w14:paraId="6DF562CD" w14:textId="3EE6C03D" w:rsidR="004C48A5" w:rsidRPr="00471EF6" w:rsidRDefault="00517F50" w:rsidP="00187E10">
            <w:pPr>
              <w:rPr>
                <w:sz w:val="18"/>
                <w:szCs w:val="18"/>
                <w:lang w:val="en-GB"/>
              </w:rPr>
            </w:pPr>
            <w:r>
              <w:rPr>
                <w:sz w:val="18"/>
                <w:szCs w:val="18"/>
                <w:lang w:val="en-GB"/>
              </w:rPr>
              <w:t>a</w:t>
            </w:r>
            <w:r w:rsidR="004C48A5">
              <w:rPr>
                <w:sz w:val="18"/>
                <w:szCs w:val="18"/>
                <w:lang w:val="en-GB"/>
              </w:rPr>
              <w:t>BMD</w:t>
            </w:r>
          </w:p>
        </w:tc>
        <w:tc>
          <w:tcPr>
            <w:tcW w:w="1210" w:type="dxa"/>
          </w:tcPr>
          <w:p w14:paraId="79DC40B0" w14:textId="77777777" w:rsidR="004C48A5" w:rsidRPr="00471EF6" w:rsidRDefault="004C48A5" w:rsidP="00187E1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1,014</w:t>
            </w:r>
          </w:p>
        </w:tc>
        <w:tc>
          <w:tcPr>
            <w:tcW w:w="1210" w:type="dxa"/>
          </w:tcPr>
          <w:p w14:paraId="11AAA7A3" w14:textId="77777777" w:rsidR="004C48A5" w:rsidRPr="00471EF6" w:rsidRDefault="004C48A5" w:rsidP="00187E1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1,028</w:t>
            </w:r>
          </w:p>
        </w:tc>
        <w:tc>
          <w:tcPr>
            <w:tcW w:w="1210" w:type="dxa"/>
          </w:tcPr>
          <w:p w14:paraId="5AEDC9E4" w14:textId="77777777" w:rsidR="004C48A5" w:rsidRPr="006C115D" w:rsidRDefault="004C48A5" w:rsidP="00187E10">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&lt;0,001</w:t>
            </w:r>
          </w:p>
        </w:tc>
        <w:tc>
          <w:tcPr>
            <w:tcW w:w="1210" w:type="dxa"/>
          </w:tcPr>
          <w:p w14:paraId="6F671A13" w14:textId="77777777" w:rsidR="004C48A5" w:rsidRPr="00471EF6" w:rsidRDefault="004C48A5" w:rsidP="00187E1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1,006</w:t>
            </w:r>
          </w:p>
        </w:tc>
        <w:tc>
          <w:tcPr>
            <w:tcW w:w="1210" w:type="dxa"/>
          </w:tcPr>
          <w:p w14:paraId="61603A78" w14:textId="77777777" w:rsidR="004C48A5" w:rsidRPr="00471EF6" w:rsidRDefault="004C48A5" w:rsidP="00187E1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1,016</w:t>
            </w:r>
          </w:p>
        </w:tc>
        <w:tc>
          <w:tcPr>
            <w:tcW w:w="1211" w:type="dxa"/>
          </w:tcPr>
          <w:p w14:paraId="43AFF944" w14:textId="77777777" w:rsidR="004C48A5" w:rsidRPr="006C115D" w:rsidRDefault="004C48A5" w:rsidP="00187E10">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0,190</w:t>
            </w:r>
          </w:p>
        </w:tc>
      </w:tr>
      <w:tr w:rsidR="00BB1776" w14:paraId="07B53F5F" w14:textId="77777777" w:rsidTr="00820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2B076BE2" w14:textId="6F915DEA" w:rsidR="00BB1776" w:rsidRDefault="00BB1776" w:rsidP="00BB1776">
            <w:pPr>
              <w:rPr>
                <w:sz w:val="18"/>
                <w:szCs w:val="18"/>
                <w:lang w:val="en-GB"/>
              </w:rPr>
            </w:pPr>
            <w:r>
              <w:rPr>
                <w:sz w:val="18"/>
                <w:szCs w:val="18"/>
                <w:lang w:val="en-GB"/>
              </w:rPr>
              <w:t>Z-score: BMD</w:t>
            </w:r>
          </w:p>
        </w:tc>
        <w:tc>
          <w:tcPr>
            <w:tcW w:w="1210" w:type="dxa"/>
          </w:tcPr>
          <w:p w14:paraId="56C28435" w14:textId="77777777" w:rsidR="00BB1776" w:rsidRDefault="00BB1776" w:rsidP="008204A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-0,813</w:t>
            </w:r>
          </w:p>
        </w:tc>
        <w:tc>
          <w:tcPr>
            <w:tcW w:w="1210" w:type="dxa"/>
          </w:tcPr>
          <w:p w14:paraId="7F56CD8D" w14:textId="77777777" w:rsidR="00BB1776" w:rsidRDefault="00BB1776" w:rsidP="008204A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-0,813</w:t>
            </w:r>
          </w:p>
        </w:tc>
        <w:tc>
          <w:tcPr>
            <w:tcW w:w="1210" w:type="dxa"/>
          </w:tcPr>
          <w:p w14:paraId="4018946E" w14:textId="77777777" w:rsidR="00BB1776" w:rsidRPr="006C115D" w:rsidRDefault="00BB1776" w:rsidP="008204AE">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6C115D">
              <w:rPr>
                <w:i/>
                <w:sz w:val="18"/>
                <w:szCs w:val="18"/>
                <w:lang w:val="en-GB"/>
              </w:rPr>
              <w:t>1,000</w:t>
            </w:r>
          </w:p>
        </w:tc>
        <w:tc>
          <w:tcPr>
            <w:tcW w:w="1210" w:type="dxa"/>
          </w:tcPr>
          <w:p w14:paraId="0A0323B2" w14:textId="77777777" w:rsidR="00BB1776" w:rsidRDefault="00BB1776" w:rsidP="008204A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-1,280</w:t>
            </w:r>
          </w:p>
        </w:tc>
        <w:tc>
          <w:tcPr>
            <w:tcW w:w="1210" w:type="dxa"/>
          </w:tcPr>
          <w:p w14:paraId="357D0E13" w14:textId="77777777" w:rsidR="00BB1776" w:rsidRDefault="00BB1776" w:rsidP="008204A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-1,587</w:t>
            </w:r>
          </w:p>
        </w:tc>
        <w:tc>
          <w:tcPr>
            <w:tcW w:w="1211" w:type="dxa"/>
          </w:tcPr>
          <w:p w14:paraId="1991C167" w14:textId="77777777" w:rsidR="00BB1776" w:rsidRPr="006C115D" w:rsidRDefault="00BB1776" w:rsidP="008204AE">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6C115D">
              <w:rPr>
                <w:i/>
                <w:sz w:val="18"/>
                <w:szCs w:val="18"/>
                <w:lang w:val="en-GB"/>
              </w:rPr>
              <w:t>0,017</w:t>
            </w:r>
          </w:p>
        </w:tc>
      </w:tr>
      <w:tr w:rsidR="004C48A5" w14:paraId="40812363" w14:textId="77777777" w:rsidTr="00611420">
        <w:tc>
          <w:tcPr>
            <w:cnfStyle w:val="001000000000" w:firstRow="0" w:lastRow="0" w:firstColumn="1" w:lastColumn="0" w:oddVBand="0" w:evenVBand="0" w:oddHBand="0" w:evenHBand="0" w:firstRowFirstColumn="0" w:firstRowLastColumn="0" w:lastRowFirstColumn="0" w:lastRowLastColumn="0"/>
            <w:tcW w:w="1951" w:type="dxa"/>
          </w:tcPr>
          <w:p w14:paraId="3515A801" w14:textId="7A591376" w:rsidR="004C48A5" w:rsidRPr="00834B64" w:rsidRDefault="004C48A5" w:rsidP="00187E10">
            <w:pPr>
              <w:rPr>
                <w:i/>
                <w:sz w:val="18"/>
                <w:szCs w:val="18"/>
                <w:lang w:val="en-GB"/>
              </w:rPr>
            </w:pPr>
            <w:r w:rsidRPr="00834B64">
              <w:rPr>
                <w:i/>
                <w:sz w:val="18"/>
                <w:szCs w:val="18"/>
                <w:lang w:val="en-GB"/>
              </w:rPr>
              <w:t>Subtotal A</w:t>
            </w:r>
            <w:r w:rsidR="002E182F">
              <w:rPr>
                <w:i/>
                <w:sz w:val="18"/>
                <w:szCs w:val="18"/>
                <w:lang w:val="en-GB"/>
              </w:rPr>
              <w:t>rea</w:t>
            </w:r>
          </w:p>
        </w:tc>
        <w:tc>
          <w:tcPr>
            <w:tcW w:w="1210" w:type="dxa"/>
          </w:tcPr>
          <w:p w14:paraId="1ADB0907" w14:textId="77777777" w:rsidR="004C48A5" w:rsidRPr="00471EF6" w:rsidRDefault="004C48A5" w:rsidP="00187E1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1720,82</w:t>
            </w:r>
          </w:p>
        </w:tc>
        <w:tc>
          <w:tcPr>
            <w:tcW w:w="1210" w:type="dxa"/>
          </w:tcPr>
          <w:p w14:paraId="5FF62323" w14:textId="77777777" w:rsidR="004C48A5" w:rsidRPr="00471EF6" w:rsidRDefault="004C48A5" w:rsidP="00187E1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1750,24</w:t>
            </w:r>
          </w:p>
        </w:tc>
        <w:tc>
          <w:tcPr>
            <w:tcW w:w="1210" w:type="dxa"/>
          </w:tcPr>
          <w:p w14:paraId="00AEEE81" w14:textId="77777777" w:rsidR="004C48A5" w:rsidRPr="006C115D" w:rsidRDefault="004C48A5" w:rsidP="00187E10">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&lt;0,001</w:t>
            </w:r>
          </w:p>
        </w:tc>
        <w:tc>
          <w:tcPr>
            <w:tcW w:w="1210" w:type="dxa"/>
          </w:tcPr>
          <w:p w14:paraId="520076D8" w14:textId="77777777" w:rsidR="004C48A5" w:rsidRPr="00471EF6" w:rsidRDefault="004C48A5" w:rsidP="00187E1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1868,12</w:t>
            </w:r>
          </w:p>
        </w:tc>
        <w:tc>
          <w:tcPr>
            <w:tcW w:w="1210" w:type="dxa"/>
          </w:tcPr>
          <w:p w14:paraId="76DC2E35" w14:textId="77777777" w:rsidR="004C48A5" w:rsidRPr="00471EF6" w:rsidRDefault="004C48A5" w:rsidP="00187E1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1932,37</w:t>
            </w:r>
          </w:p>
        </w:tc>
        <w:tc>
          <w:tcPr>
            <w:tcW w:w="1211" w:type="dxa"/>
          </w:tcPr>
          <w:p w14:paraId="77E5A894" w14:textId="77777777" w:rsidR="004C48A5" w:rsidRPr="006C115D" w:rsidRDefault="004C48A5" w:rsidP="00187E10">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0,003</w:t>
            </w:r>
          </w:p>
        </w:tc>
      </w:tr>
      <w:tr w:rsidR="004C48A5" w14:paraId="01201B76" w14:textId="77777777" w:rsidTr="00611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5375CEA" w14:textId="4C50A181" w:rsidR="004C48A5" w:rsidRPr="00471EF6" w:rsidRDefault="00517F50" w:rsidP="00187E10">
            <w:pPr>
              <w:rPr>
                <w:sz w:val="18"/>
                <w:szCs w:val="18"/>
                <w:lang w:val="en-GB"/>
              </w:rPr>
            </w:pPr>
            <w:r>
              <w:rPr>
                <w:sz w:val="18"/>
                <w:szCs w:val="18"/>
                <w:lang w:val="en-GB"/>
              </w:rPr>
              <w:t>a</w:t>
            </w:r>
            <w:r w:rsidR="004C48A5">
              <w:rPr>
                <w:sz w:val="18"/>
                <w:szCs w:val="18"/>
                <w:lang w:val="en-GB"/>
              </w:rPr>
              <w:t>BMC</w:t>
            </w:r>
          </w:p>
        </w:tc>
        <w:tc>
          <w:tcPr>
            <w:tcW w:w="1210" w:type="dxa"/>
          </w:tcPr>
          <w:p w14:paraId="27F44F95" w14:textId="77777777" w:rsidR="004C48A5" w:rsidRPr="00471EF6" w:rsidRDefault="004C48A5" w:rsidP="00187E10">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1479,00</w:t>
            </w:r>
          </w:p>
        </w:tc>
        <w:tc>
          <w:tcPr>
            <w:tcW w:w="1210" w:type="dxa"/>
          </w:tcPr>
          <w:p w14:paraId="629DC10C" w14:textId="77777777" w:rsidR="004C48A5" w:rsidRPr="00471EF6" w:rsidRDefault="004C48A5" w:rsidP="00187E10">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1514,81</w:t>
            </w:r>
          </w:p>
        </w:tc>
        <w:tc>
          <w:tcPr>
            <w:tcW w:w="1210" w:type="dxa"/>
          </w:tcPr>
          <w:p w14:paraId="5903D2DB" w14:textId="77777777" w:rsidR="004C48A5" w:rsidRPr="006C115D" w:rsidRDefault="004C48A5" w:rsidP="00187E10">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6C115D">
              <w:rPr>
                <w:i/>
                <w:sz w:val="18"/>
                <w:szCs w:val="18"/>
                <w:lang w:val="en-GB"/>
              </w:rPr>
              <w:t>0,001</w:t>
            </w:r>
          </w:p>
        </w:tc>
        <w:tc>
          <w:tcPr>
            <w:tcW w:w="1210" w:type="dxa"/>
          </w:tcPr>
          <w:p w14:paraId="02BD122D" w14:textId="77777777" w:rsidR="004C48A5" w:rsidRPr="00471EF6" w:rsidRDefault="004C48A5" w:rsidP="00187E10">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1644,19</w:t>
            </w:r>
          </w:p>
        </w:tc>
        <w:tc>
          <w:tcPr>
            <w:tcW w:w="1210" w:type="dxa"/>
          </w:tcPr>
          <w:p w14:paraId="2A6EEA11" w14:textId="77777777" w:rsidR="004C48A5" w:rsidRPr="00471EF6" w:rsidRDefault="004C48A5" w:rsidP="00187E10">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1703,20</w:t>
            </w:r>
          </w:p>
        </w:tc>
        <w:tc>
          <w:tcPr>
            <w:tcW w:w="1211" w:type="dxa"/>
          </w:tcPr>
          <w:p w14:paraId="7C165DF9" w14:textId="77777777" w:rsidR="004C48A5" w:rsidRPr="006C115D" w:rsidRDefault="004C48A5" w:rsidP="00187E10">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6C115D">
              <w:rPr>
                <w:i/>
                <w:sz w:val="18"/>
                <w:szCs w:val="18"/>
                <w:lang w:val="en-GB"/>
              </w:rPr>
              <w:t>0,006</w:t>
            </w:r>
          </w:p>
        </w:tc>
      </w:tr>
      <w:tr w:rsidR="004C48A5" w14:paraId="7485B477" w14:textId="77777777" w:rsidTr="00611420">
        <w:tc>
          <w:tcPr>
            <w:cnfStyle w:val="001000000000" w:firstRow="0" w:lastRow="0" w:firstColumn="1" w:lastColumn="0" w:oddVBand="0" w:evenVBand="0" w:oddHBand="0" w:evenHBand="0" w:firstRowFirstColumn="0" w:firstRowLastColumn="0" w:lastRowFirstColumn="0" w:lastRowLastColumn="0"/>
            <w:tcW w:w="1951" w:type="dxa"/>
          </w:tcPr>
          <w:p w14:paraId="47CA370A" w14:textId="214837C7" w:rsidR="004C48A5" w:rsidRPr="00471EF6" w:rsidRDefault="00517F50" w:rsidP="00187E10">
            <w:pPr>
              <w:rPr>
                <w:sz w:val="18"/>
                <w:szCs w:val="18"/>
                <w:lang w:val="en-GB"/>
              </w:rPr>
            </w:pPr>
            <w:r>
              <w:rPr>
                <w:sz w:val="18"/>
                <w:szCs w:val="18"/>
                <w:lang w:val="en-GB"/>
              </w:rPr>
              <w:t>a</w:t>
            </w:r>
            <w:r w:rsidR="004C48A5">
              <w:rPr>
                <w:sz w:val="18"/>
                <w:szCs w:val="18"/>
                <w:lang w:val="en-GB"/>
              </w:rPr>
              <w:t>BMD</w:t>
            </w:r>
          </w:p>
        </w:tc>
        <w:tc>
          <w:tcPr>
            <w:tcW w:w="1210" w:type="dxa"/>
          </w:tcPr>
          <w:p w14:paraId="33AE44D0" w14:textId="77777777" w:rsidR="004C48A5" w:rsidRPr="00471EF6" w:rsidRDefault="004C48A5" w:rsidP="00187E1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0,856</w:t>
            </w:r>
          </w:p>
        </w:tc>
        <w:tc>
          <w:tcPr>
            <w:tcW w:w="1210" w:type="dxa"/>
          </w:tcPr>
          <w:p w14:paraId="3F92BE1F" w14:textId="77777777" w:rsidR="004C48A5" w:rsidRPr="00471EF6" w:rsidRDefault="004C48A5" w:rsidP="00187E1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0,862</w:t>
            </w:r>
          </w:p>
        </w:tc>
        <w:tc>
          <w:tcPr>
            <w:tcW w:w="1210" w:type="dxa"/>
          </w:tcPr>
          <w:p w14:paraId="7B948DF0" w14:textId="77777777" w:rsidR="004C48A5" w:rsidRPr="006C115D" w:rsidRDefault="004C48A5" w:rsidP="00187E10">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0,102</w:t>
            </w:r>
          </w:p>
        </w:tc>
        <w:tc>
          <w:tcPr>
            <w:tcW w:w="1210" w:type="dxa"/>
          </w:tcPr>
          <w:p w14:paraId="0D1638DC" w14:textId="77777777" w:rsidR="004C48A5" w:rsidRPr="00471EF6" w:rsidRDefault="004C48A5" w:rsidP="00187E1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0,875</w:t>
            </w:r>
          </w:p>
        </w:tc>
        <w:tc>
          <w:tcPr>
            <w:tcW w:w="1210" w:type="dxa"/>
          </w:tcPr>
          <w:p w14:paraId="28900F63" w14:textId="77777777" w:rsidR="004C48A5" w:rsidRPr="00471EF6" w:rsidRDefault="004C48A5" w:rsidP="00187E1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0,878</w:t>
            </w:r>
          </w:p>
        </w:tc>
        <w:tc>
          <w:tcPr>
            <w:tcW w:w="1211" w:type="dxa"/>
          </w:tcPr>
          <w:p w14:paraId="39AB1D09" w14:textId="77777777" w:rsidR="004C48A5" w:rsidRPr="006C115D" w:rsidRDefault="004C48A5" w:rsidP="00187E10">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6C115D">
              <w:rPr>
                <w:i/>
                <w:sz w:val="18"/>
                <w:szCs w:val="18"/>
                <w:lang w:val="en-GB"/>
              </w:rPr>
              <w:t>0,631</w:t>
            </w:r>
          </w:p>
        </w:tc>
      </w:tr>
    </w:tbl>
    <w:p w14:paraId="3472EEE6" w14:textId="01EDC83F" w:rsidR="006E005B" w:rsidRDefault="00341F7A" w:rsidP="003058FE">
      <w:pPr>
        <w:spacing w:after="120" w:line="240" w:lineRule="auto"/>
        <w:jc w:val="both"/>
        <w:rPr>
          <w:sz w:val="18"/>
          <w:szCs w:val="18"/>
          <w:lang w:val="en-US"/>
        </w:rPr>
      </w:pPr>
      <w:r>
        <w:rPr>
          <w:sz w:val="18"/>
          <w:szCs w:val="18"/>
          <w:lang w:val="en-US"/>
        </w:rPr>
        <w:t xml:space="preserve">Mean before L/CA: baseline; Mean before CSH: mean levels before start CSH; P (L/CA): results of statistical tests, </w:t>
      </w:r>
      <w:r w:rsidR="001C421A">
        <w:rPr>
          <w:sz w:val="18"/>
          <w:szCs w:val="18"/>
          <w:lang w:val="en-US"/>
        </w:rPr>
        <w:t xml:space="preserve">aBMC: areal bone mineral content, aBMD: areal bone mineral density; Subtotal: whole body </w:t>
      </w:r>
      <w:r w:rsidR="00D40A15">
        <w:rPr>
          <w:sz w:val="18"/>
          <w:szCs w:val="18"/>
          <w:lang w:val="en-US"/>
        </w:rPr>
        <w:t>less head</w:t>
      </w:r>
      <w:r w:rsidR="00187E10">
        <w:rPr>
          <w:sz w:val="18"/>
          <w:szCs w:val="18"/>
          <w:lang w:val="en-US"/>
        </w:rPr>
        <w:t>; L: lynestrenol; CA: cyproterone acetate.</w:t>
      </w:r>
      <w:r w:rsidR="00F9171D" w:rsidRPr="00F9171D">
        <w:rPr>
          <w:rFonts w:ascii="Times New Roman" w:hAnsi="Times New Roman" w:cs="Times New Roman"/>
          <w:noProof/>
          <w:sz w:val="24"/>
          <w:szCs w:val="24"/>
          <w:lang w:val="en-US"/>
        </w:rPr>
        <w:t xml:space="preserve"> </w:t>
      </w:r>
    </w:p>
    <w:p w14:paraId="7912887F" w14:textId="77777777" w:rsidR="00E73EBE" w:rsidRDefault="00E73EBE" w:rsidP="00E73EB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0B6686" wp14:editId="6B68FC37">
            <wp:extent cx="2820874" cy="2628000"/>
            <wp:effectExtent l="0" t="0" r="0" b="127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l="4537" t="2647" r="15100" b="10007"/>
                    <a:stretch/>
                  </pic:blipFill>
                  <pic:spPr bwMode="auto">
                    <a:xfrm>
                      <a:off x="0" y="0"/>
                      <a:ext cx="2820874" cy="2628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35A0CC82" wp14:editId="74D25AE2">
            <wp:extent cx="2887995" cy="2628000"/>
            <wp:effectExtent l="0" t="0" r="7620" b="127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l="3889" t="2269" r="13480" b="10008"/>
                    <a:stretch/>
                  </pic:blipFill>
                  <pic:spPr bwMode="auto">
                    <a:xfrm>
                      <a:off x="0" y="0"/>
                      <a:ext cx="2887995" cy="2628000"/>
                    </a:xfrm>
                    <a:prstGeom prst="rect">
                      <a:avLst/>
                    </a:prstGeom>
                    <a:noFill/>
                    <a:ln>
                      <a:noFill/>
                    </a:ln>
                    <a:extLst>
                      <a:ext uri="{53640926-AAD7-44D8-BBD7-CCE9431645EC}">
                        <a14:shadowObscured xmlns:a14="http://schemas.microsoft.com/office/drawing/2010/main"/>
                      </a:ext>
                    </a:extLst>
                  </pic:spPr>
                </pic:pic>
              </a:graphicData>
            </a:graphic>
          </wp:inline>
        </w:drawing>
      </w:r>
    </w:p>
    <w:p w14:paraId="537ACC7E" w14:textId="5A482607" w:rsidR="00F9171D" w:rsidRDefault="00F9171D">
      <w:pPr>
        <w:rPr>
          <w:b/>
          <w:sz w:val="18"/>
          <w:szCs w:val="18"/>
          <w:lang w:val="en-GB"/>
        </w:rPr>
      </w:pPr>
      <w:r>
        <w:rPr>
          <w:b/>
          <w:sz w:val="18"/>
          <w:szCs w:val="18"/>
          <w:lang w:val="en-GB"/>
        </w:rPr>
        <w:br w:type="page"/>
      </w:r>
    </w:p>
    <w:p w14:paraId="33FAE59C" w14:textId="085344F9" w:rsidR="00F9171D" w:rsidRDefault="00E73EBE" w:rsidP="009449A9">
      <w:pPr>
        <w:spacing w:after="0" w:line="240" w:lineRule="auto"/>
        <w:jc w:val="both"/>
        <w:rPr>
          <w:sz w:val="18"/>
          <w:szCs w:val="18"/>
          <w:lang w:val="en-GB"/>
        </w:rPr>
      </w:pPr>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5B9C964D" wp14:editId="2433A6C9">
            <wp:simplePos x="0" y="0"/>
            <wp:positionH relativeFrom="column">
              <wp:posOffset>-4445</wp:posOffset>
            </wp:positionH>
            <wp:positionV relativeFrom="paragraph">
              <wp:posOffset>-4445</wp:posOffset>
            </wp:positionV>
            <wp:extent cx="2798861" cy="2628000"/>
            <wp:effectExtent l="0" t="0" r="1905" b="127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l="3890" t="3025" r="16721" b="10007"/>
                    <a:stretch/>
                  </pic:blipFill>
                  <pic:spPr bwMode="auto">
                    <a:xfrm>
                      <a:off x="0" y="0"/>
                      <a:ext cx="2798861" cy="2628000"/>
                    </a:xfrm>
                    <a:prstGeom prst="rect">
                      <a:avLst/>
                    </a:prstGeom>
                    <a:noFill/>
                    <a:ln>
                      <a:noFill/>
                    </a:ln>
                    <a:extLst>
                      <a:ext uri="{53640926-AAD7-44D8-BBD7-CCE9431645EC}">
                        <a14:shadowObscured xmlns:a14="http://schemas.microsoft.com/office/drawing/2010/main"/>
                      </a:ext>
                    </a:extLst>
                  </pic:spPr>
                </pic:pic>
              </a:graphicData>
            </a:graphic>
          </wp:anchor>
        </w:drawing>
      </w:r>
      <w:r w:rsidR="00624AB0">
        <w:rPr>
          <w:b/>
          <w:sz w:val="18"/>
          <w:szCs w:val="18"/>
          <w:lang w:val="en-GB"/>
        </w:rPr>
        <w:t>Figure 9</w:t>
      </w:r>
      <w:r w:rsidR="00F9171D" w:rsidRPr="00F9171D">
        <w:rPr>
          <w:b/>
          <w:sz w:val="18"/>
          <w:szCs w:val="18"/>
          <w:lang w:val="en-GB"/>
        </w:rPr>
        <w:t>.</w:t>
      </w:r>
      <w:r w:rsidR="00F9171D" w:rsidRPr="00F9171D">
        <w:rPr>
          <w:sz w:val="18"/>
          <w:szCs w:val="18"/>
          <w:lang w:val="en-GB"/>
        </w:rPr>
        <w:t xml:space="preserve"> Evolution of Z-scores: BMD of whole body</w:t>
      </w:r>
      <w:r w:rsidR="00F9171D">
        <w:rPr>
          <w:sz w:val="18"/>
          <w:szCs w:val="18"/>
          <w:lang w:val="en-GB"/>
        </w:rPr>
        <w:t xml:space="preserve"> (upper left),</w:t>
      </w:r>
      <w:r w:rsidR="00F9171D" w:rsidRPr="00F9171D">
        <w:rPr>
          <w:sz w:val="18"/>
          <w:szCs w:val="18"/>
          <w:lang w:val="en-GB"/>
        </w:rPr>
        <w:t xml:space="preserve"> lumbar spine</w:t>
      </w:r>
      <w:r w:rsidR="00F9171D">
        <w:rPr>
          <w:sz w:val="18"/>
          <w:szCs w:val="18"/>
          <w:lang w:val="en-GB"/>
        </w:rPr>
        <w:t xml:space="preserve"> (right)</w:t>
      </w:r>
      <w:r w:rsidR="00F9171D" w:rsidRPr="00F9171D">
        <w:rPr>
          <w:sz w:val="18"/>
          <w:szCs w:val="18"/>
          <w:lang w:val="en-GB"/>
        </w:rPr>
        <w:t>, and femoral neck</w:t>
      </w:r>
      <w:r w:rsidR="00F9171D">
        <w:rPr>
          <w:sz w:val="18"/>
          <w:szCs w:val="18"/>
          <w:lang w:val="en-GB"/>
        </w:rPr>
        <w:t xml:space="preserve"> (lower left)</w:t>
      </w:r>
      <w:r w:rsidR="009449A9">
        <w:rPr>
          <w:sz w:val="18"/>
          <w:szCs w:val="18"/>
          <w:lang w:val="en-GB"/>
        </w:rPr>
        <w:t>. Baseline: before initiation of progestin; L/CA: before start of CSH</w:t>
      </w:r>
    </w:p>
    <w:p w14:paraId="4402283F" w14:textId="006BF13F" w:rsidR="00F9171D" w:rsidRDefault="00F9171D" w:rsidP="002D3A34">
      <w:pPr>
        <w:spacing w:after="0" w:line="240" w:lineRule="auto"/>
        <w:rPr>
          <w:sz w:val="18"/>
          <w:szCs w:val="18"/>
          <w:lang w:val="en-GB"/>
        </w:rPr>
      </w:pPr>
    </w:p>
    <w:p w14:paraId="4812AE84" w14:textId="3D5ADA81" w:rsidR="00F9171D" w:rsidRDefault="00F9171D" w:rsidP="002D3A34">
      <w:pPr>
        <w:spacing w:after="0" w:line="240" w:lineRule="auto"/>
        <w:rPr>
          <w:sz w:val="18"/>
          <w:szCs w:val="18"/>
          <w:lang w:val="en-GB"/>
        </w:rPr>
      </w:pPr>
    </w:p>
    <w:p w14:paraId="617D65CC" w14:textId="2EBE82F2" w:rsidR="00F9171D" w:rsidRDefault="00F9171D" w:rsidP="002D3A34">
      <w:pPr>
        <w:spacing w:after="0" w:line="240" w:lineRule="auto"/>
        <w:rPr>
          <w:sz w:val="18"/>
          <w:szCs w:val="18"/>
          <w:lang w:val="en-GB"/>
        </w:rPr>
      </w:pPr>
    </w:p>
    <w:p w14:paraId="5DB24000" w14:textId="0D1DD3AD" w:rsidR="00F9171D" w:rsidRDefault="00F9171D" w:rsidP="002D3A34">
      <w:pPr>
        <w:spacing w:after="0" w:line="240" w:lineRule="auto"/>
        <w:rPr>
          <w:sz w:val="18"/>
          <w:szCs w:val="18"/>
          <w:lang w:val="en-GB"/>
        </w:rPr>
      </w:pPr>
    </w:p>
    <w:p w14:paraId="4C4E400E" w14:textId="6B630B92" w:rsidR="00F9171D" w:rsidRDefault="00F9171D" w:rsidP="002D3A34">
      <w:pPr>
        <w:spacing w:after="0" w:line="240" w:lineRule="auto"/>
        <w:rPr>
          <w:sz w:val="18"/>
          <w:szCs w:val="18"/>
          <w:lang w:val="en-GB"/>
        </w:rPr>
      </w:pPr>
    </w:p>
    <w:p w14:paraId="51BFC7E4" w14:textId="18102C37" w:rsidR="00F9171D" w:rsidRDefault="00F9171D" w:rsidP="002D3A34">
      <w:pPr>
        <w:spacing w:after="0" w:line="240" w:lineRule="auto"/>
        <w:rPr>
          <w:sz w:val="18"/>
          <w:szCs w:val="18"/>
          <w:lang w:val="en-GB"/>
        </w:rPr>
      </w:pPr>
    </w:p>
    <w:p w14:paraId="3F7CF4BA" w14:textId="5FD758B7" w:rsidR="00F9171D" w:rsidRDefault="00F9171D" w:rsidP="002D3A34">
      <w:pPr>
        <w:spacing w:after="0" w:line="240" w:lineRule="auto"/>
        <w:rPr>
          <w:sz w:val="18"/>
          <w:szCs w:val="18"/>
          <w:lang w:val="en-GB"/>
        </w:rPr>
      </w:pPr>
    </w:p>
    <w:p w14:paraId="63734CC7" w14:textId="54A3C8CB" w:rsidR="00F9171D" w:rsidRDefault="00F9171D" w:rsidP="002D3A34">
      <w:pPr>
        <w:spacing w:after="0" w:line="240" w:lineRule="auto"/>
        <w:rPr>
          <w:sz w:val="18"/>
          <w:szCs w:val="18"/>
          <w:lang w:val="en-GB"/>
        </w:rPr>
      </w:pPr>
    </w:p>
    <w:p w14:paraId="2A5AF0E2" w14:textId="4DAF9C31" w:rsidR="00F9171D" w:rsidRDefault="00F9171D" w:rsidP="002D3A34">
      <w:pPr>
        <w:spacing w:after="0" w:line="240" w:lineRule="auto"/>
        <w:rPr>
          <w:sz w:val="18"/>
          <w:szCs w:val="18"/>
          <w:lang w:val="en-GB"/>
        </w:rPr>
      </w:pPr>
    </w:p>
    <w:p w14:paraId="6507EFEC" w14:textId="0930722D" w:rsidR="00F9171D" w:rsidRDefault="00F9171D" w:rsidP="002D3A34">
      <w:pPr>
        <w:spacing w:after="0" w:line="240" w:lineRule="auto"/>
        <w:rPr>
          <w:sz w:val="18"/>
          <w:szCs w:val="18"/>
          <w:lang w:val="en-GB"/>
        </w:rPr>
      </w:pPr>
    </w:p>
    <w:p w14:paraId="2298D8AE" w14:textId="13B464EE" w:rsidR="00F9171D" w:rsidRDefault="00F9171D" w:rsidP="002D3A34">
      <w:pPr>
        <w:spacing w:after="0" w:line="240" w:lineRule="auto"/>
        <w:rPr>
          <w:sz w:val="18"/>
          <w:szCs w:val="18"/>
          <w:lang w:val="en-GB"/>
        </w:rPr>
      </w:pPr>
    </w:p>
    <w:p w14:paraId="0A90BE01" w14:textId="77777777" w:rsidR="00E73EBE" w:rsidRDefault="00E73EBE" w:rsidP="002D3A34">
      <w:pPr>
        <w:spacing w:after="0" w:line="240" w:lineRule="auto"/>
        <w:rPr>
          <w:sz w:val="18"/>
          <w:szCs w:val="18"/>
          <w:lang w:val="en-GB"/>
        </w:rPr>
      </w:pPr>
    </w:p>
    <w:p w14:paraId="7D305A90" w14:textId="788D4DE5" w:rsidR="00F9171D" w:rsidRDefault="00F9171D" w:rsidP="002D3A34">
      <w:pPr>
        <w:spacing w:after="0" w:line="240" w:lineRule="auto"/>
        <w:rPr>
          <w:sz w:val="18"/>
          <w:szCs w:val="18"/>
          <w:lang w:val="en-GB"/>
        </w:rPr>
      </w:pPr>
    </w:p>
    <w:p w14:paraId="5FF244EC" w14:textId="26B450B5" w:rsidR="00F9171D" w:rsidRDefault="00F9171D" w:rsidP="002D3A34">
      <w:pPr>
        <w:spacing w:after="0" w:line="240" w:lineRule="auto"/>
        <w:rPr>
          <w:sz w:val="18"/>
          <w:szCs w:val="18"/>
          <w:lang w:val="en-GB"/>
        </w:rPr>
      </w:pPr>
    </w:p>
    <w:p w14:paraId="1C0F6F5C" w14:textId="7ACC5957" w:rsidR="00E73EBE" w:rsidRPr="00004609" w:rsidRDefault="00E73EBE" w:rsidP="00E73EBE">
      <w:pPr>
        <w:rPr>
          <w:rFonts w:ascii="Times New Roman" w:hAnsi="Times New Roman" w:cs="Times New Roman"/>
          <w:sz w:val="24"/>
          <w:szCs w:val="24"/>
          <w:lang w:val="en-US"/>
        </w:rPr>
      </w:pPr>
    </w:p>
    <w:p w14:paraId="13415EDF" w14:textId="77777777" w:rsidR="00E73EBE" w:rsidRDefault="00E73EBE" w:rsidP="002D3A34">
      <w:pPr>
        <w:spacing w:after="0" w:line="240" w:lineRule="auto"/>
        <w:rPr>
          <w:sz w:val="18"/>
          <w:szCs w:val="18"/>
          <w:lang w:val="en-GB"/>
        </w:rPr>
      </w:pPr>
    </w:p>
    <w:p w14:paraId="3843B796" w14:textId="4C996A27" w:rsidR="00FD5AB2" w:rsidRDefault="00FD5AB2" w:rsidP="009B170C">
      <w:pPr>
        <w:pStyle w:val="Kop3"/>
        <w:rPr>
          <w:lang w:val="en-GB"/>
        </w:rPr>
      </w:pPr>
      <w:bookmarkStart w:id="54" w:name="_Toc451961510"/>
      <w:r w:rsidRPr="009B170C">
        <w:t>Bone</w:t>
      </w:r>
      <w:r>
        <w:rPr>
          <w:lang w:val="en-GB"/>
        </w:rPr>
        <w:t xml:space="preserve"> development pQCT (Table </w:t>
      </w:r>
      <w:r w:rsidR="00C506E9">
        <w:rPr>
          <w:lang w:val="en-GB"/>
        </w:rPr>
        <w:t>1</w:t>
      </w:r>
      <w:r w:rsidR="00A44497">
        <w:rPr>
          <w:lang w:val="en-GB"/>
        </w:rPr>
        <w:t>4</w:t>
      </w:r>
      <w:r>
        <w:rPr>
          <w:lang w:val="en-GB"/>
        </w:rPr>
        <w:t>)</w:t>
      </w:r>
      <w:bookmarkEnd w:id="54"/>
    </w:p>
    <w:p w14:paraId="18E6BAA7" w14:textId="5EFF978F" w:rsidR="00FD5AB2" w:rsidRDefault="00FD5AB2" w:rsidP="00C9130A">
      <w:pPr>
        <w:spacing w:after="0" w:line="360" w:lineRule="auto"/>
        <w:jc w:val="both"/>
        <w:rPr>
          <w:lang w:val="en-GB"/>
        </w:rPr>
      </w:pPr>
      <w:r>
        <w:rPr>
          <w:lang w:val="en-GB"/>
        </w:rPr>
        <w:t xml:space="preserve">In </w:t>
      </w:r>
      <w:r w:rsidRPr="009B170C">
        <w:rPr>
          <w:i/>
          <w:lang w:val="en-GB"/>
        </w:rPr>
        <w:t>FtM</w:t>
      </w:r>
      <w:r>
        <w:rPr>
          <w:lang w:val="en-GB"/>
        </w:rPr>
        <w:t xml:space="preserve"> adolescents</w:t>
      </w:r>
      <w:r w:rsidR="005C3E1D">
        <w:rPr>
          <w:lang w:val="en-GB"/>
        </w:rPr>
        <w:t>,</w:t>
      </w:r>
      <w:r>
        <w:rPr>
          <w:lang w:val="en-GB"/>
        </w:rPr>
        <w:t xml:space="preserve"> </w:t>
      </w:r>
      <w:r w:rsidR="00AA2AA5">
        <w:rPr>
          <w:lang w:val="en-GB"/>
        </w:rPr>
        <w:t xml:space="preserve">both </w:t>
      </w:r>
      <w:r w:rsidR="00180261">
        <w:rPr>
          <w:lang w:val="en-GB"/>
        </w:rPr>
        <w:t>t</w:t>
      </w:r>
      <w:r>
        <w:rPr>
          <w:lang w:val="en-GB"/>
        </w:rPr>
        <w:t>ra</w:t>
      </w:r>
      <w:r w:rsidR="00936D69">
        <w:rPr>
          <w:lang w:val="en-GB"/>
        </w:rPr>
        <w:t xml:space="preserve">becular </w:t>
      </w:r>
      <w:r w:rsidR="00AA2AA5">
        <w:rPr>
          <w:lang w:val="en-GB"/>
        </w:rPr>
        <w:t xml:space="preserve">and cortical </w:t>
      </w:r>
      <w:r w:rsidR="00936D69">
        <w:rPr>
          <w:lang w:val="en-GB"/>
        </w:rPr>
        <w:t>bone parameters (area, vBMC</w:t>
      </w:r>
      <w:r>
        <w:rPr>
          <w:lang w:val="en-GB"/>
        </w:rPr>
        <w:t xml:space="preserve">, </w:t>
      </w:r>
      <w:r w:rsidR="00936D69">
        <w:rPr>
          <w:lang w:val="en-GB"/>
        </w:rPr>
        <w:t>vBMD</w:t>
      </w:r>
      <w:r>
        <w:rPr>
          <w:lang w:val="en-GB"/>
        </w:rPr>
        <w:t xml:space="preserve">) </w:t>
      </w:r>
      <w:r w:rsidR="00AA2AA5">
        <w:rPr>
          <w:lang w:val="en-GB"/>
        </w:rPr>
        <w:t xml:space="preserve">at the radius and the tibia increased during the study period, to the same extent as in age-matched control girls. </w:t>
      </w:r>
    </w:p>
    <w:p w14:paraId="6693653E" w14:textId="267AD097" w:rsidR="00FD5AB2" w:rsidRDefault="00837D02" w:rsidP="00C9130A">
      <w:pPr>
        <w:spacing w:after="0" w:line="360" w:lineRule="auto"/>
        <w:jc w:val="both"/>
        <w:rPr>
          <w:lang w:val="en-GB"/>
        </w:rPr>
      </w:pPr>
      <w:r>
        <w:rPr>
          <w:lang w:val="en-GB"/>
        </w:rPr>
        <w:t>Z-scores of the s</w:t>
      </w:r>
      <w:r w:rsidR="00FD5AB2">
        <w:rPr>
          <w:lang w:val="en-GB"/>
        </w:rPr>
        <w:t xml:space="preserve">trength strain index </w:t>
      </w:r>
      <w:r w:rsidR="00490515">
        <w:rPr>
          <w:lang w:val="en-GB"/>
        </w:rPr>
        <w:t>were unaltered</w:t>
      </w:r>
      <w:r>
        <w:rPr>
          <w:lang w:val="en-GB"/>
        </w:rPr>
        <w:t xml:space="preserve"> at the</w:t>
      </w:r>
      <w:r w:rsidR="004C7E83">
        <w:rPr>
          <w:lang w:val="en-GB"/>
        </w:rPr>
        <w:t xml:space="preserve"> midshaft</w:t>
      </w:r>
      <w:r>
        <w:rPr>
          <w:lang w:val="en-GB"/>
        </w:rPr>
        <w:t xml:space="preserve"> radius</w:t>
      </w:r>
      <w:r w:rsidR="00FD5AB2">
        <w:rPr>
          <w:lang w:val="en-GB"/>
        </w:rPr>
        <w:t xml:space="preserve">. </w:t>
      </w:r>
    </w:p>
    <w:p w14:paraId="3F9FEDCA" w14:textId="04F1D330" w:rsidR="00FD5AB2" w:rsidRDefault="00FD5AB2" w:rsidP="00C9130A">
      <w:pPr>
        <w:spacing w:after="0" w:line="360" w:lineRule="auto"/>
        <w:jc w:val="both"/>
        <w:rPr>
          <w:lang w:val="en-GB"/>
        </w:rPr>
      </w:pPr>
      <w:r>
        <w:rPr>
          <w:lang w:val="en-GB"/>
        </w:rPr>
        <w:t>In</w:t>
      </w:r>
      <w:r w:rsidR="00AA2AA5">
        <w:rPr>
          <w:lang w:val="en-GB"/>
        </w:rPr>
        <w:t xml:space="preserve"> contrast, in</w:t>
      </w:r>
      <w:r>
        <w:rPr>
          <w:lang w:val="en-GB"/>
        </w:rPr>
        <w:t xml:space="preserve"> </w:t>
      </w:r>
      <w:r w:rsidRPr="009B170C">
        <w:rPr>
          <w:i/>
          <w:lang w:val="en-GB"/>
        </w:rPr>
        <w:t>MtF</w:t>
      </w:r>
      <w:r>
        <w:rPr>
          <w:lang w:val="en-GB"/>
        </w:rPr>
        <w:t xml:space="preserve"> adolescents</w:t>
      </w:r>
      <w:r w:rsidR="008B3FA6">
        <w:rPr>
          <w:lang w:val="en-GB"/>
        </w:rPr>
        <w:t xml:space="preserve"> taking CA,</w:t>
      </w:r>
      <w:r>
        <w:rPr>
          <w:lang w:val="en-GB"/>
        </w:rPr>
        <w:t xml:space="preserve"> </w:t>
      </w:r>
      <w:r w:rsidR="00F36152">
        <w:rPr>
          <w:lang w:val="en-GB"/>
        </w:rPr>
        <w:t>trabecular vBMD decreased at the metaphysis of the radius and tibia, Z-scores only significantly decreased at the radius.</w:t>
      </w:r>
      <w:r>
        <w:rPr>
          <w:lang w:val="en-GB"/>
        </w:rPr>
        <w:t xml:space="preserve"> </w:t>
      </w:r>
    </w:p>
    <w:p w14:paraId="58892E55" w14:textId="77777777" w:rsidR="00C9130A" w:rsidRDefault="007A508C" w:rsidP="00C9130A">
      <w:pPr>
        <w:spacing w:after="0" w:line="360" w:lineRule="auto"/>
        <w:jc w:val="both"/>
        <w:rPr>
          <w:lang w:val="en-GB"/>
        </w:rPr>
      </w:pPr>
      <w:r>
        <w:rPr>
          <w:lang w:val="en-GB"/>
        </w:rPr>
        <w:t xml:space="preserve">Significant </w:t>
      </w:r>
      <w:r w:rsidR="008B3FA6">
        <w:rPr>
          <w:lang w:val="en-GB"/>
        </w:rPr>
        <w:t xml:space="preserve">increases </w:t>
      </w:r>
      <w:r>
        <w:rPr>
          <w:lang w:val="en-GB"/>
        </w:rPr>
        <w:t>of the c</w:t>
      </w:r>
      <w:r w:rsidR="00FD5AB2">
        <w:rPr>
          <w:lang w:val="en-GB"/>
        </w:rPr>
        <w:t xml:space="preserve">ortical </w:t>
      </w:r>
      <w:r w:rsidR="008E121E">
        <w:rPr>
          <w:lang w:val="en-GB"/>
        </w:rPr>
        <w:t>vBMC</w:t>
      </w:r>
      <w:r w:rsidR="00FD5AB2">
        <w:rPr>
          <w:lang w:val="en-GB"/>
        </w:rPr>
        <w:t xml:space="preserve"> and </w:t>
      </w:r>
      <w:r w:rsidR="008E121E">
        <w:rPr>
          <w:lang w:val="en-GB"/>
        </w:rPr>
        <w:t>vBMD</w:t>
      </w:r>
      <w:r w:rsidR="00FD5AB2">
        <w:rPr>
          <w:lang w:val="en-GB"/>
        </w:rPr>
        <w:t xml:space="preserve"> </w:t>
      </w:r>
      <w:r>
        <w:rPr>
          <w:lang w:val="en-GB"/>
        </w:rPr>
        <w:t>were noted</w:t>
      </w:r>
      <w:r w:rsidR="00FD5AB2">
        <w:rPr>
          <w:lang w:val="en-GB"/>
        </w:rPr>
        <w:t xml:space="preserve"> at both </w:t>
      </w:r>
      <w:r w:rsidR="00C9130A">
        <w:rPr>
          <w:lang w:val="en-GB"/>
        </w:rPr>
        <w:t>midshaft tibia and radius.</w:t>
      </w:r>
    </w:p>
    <w:p w14:paraId="7572384B" w14:textId="12581779" w:rsidR="00FD5AB2" w:rsidRPr="002139FF" w:rsidRDefault="00837D02" w:rsidP="00C9130A">
      <w:pPr>
        <w:spacing w:after="0" w:line="360" w:lineRule="auto"/>
        <w:jc w:val="both"/>
        <w:rPr>
          <w:lang w:val="en-GB"/>
        </w:rPr>
      </w:pPr>
      <w:r>
        <w:rPr>
          <w:lang w:val="en-GB"/>
        </w:rPr>
        <w:t xml:space="preserve">Z-scores of the strength strain index </w:t>
      </w:r>
      <w:r w:rsidR="004C7E83">
        <w:rPr>
          <w:lang w:val="en-GB"/>
        </w:rPr>
        <w:t xml:space="preserve">at the midshaft radius </w:t>
      </w:r>
      <w:r>
        <w:rPr>
          <w:lang w:val="en-GB"/>
        </w:rPr>
        <w:t>decreased significantly</w:t>
      </w:r>
      <w:r w:rsidR="00FD5AB2">
        <w:rPr>
          <w:lang w:val="en-GB"/>
        </w:rPr>
        <w:t xml:space="preserve">. </w:t>
      </w:r>
    </w:p>
    <w:p w14:paraId="5DD23098" w14:textId="5ADEBD6C" w:rsidR="00FD5AB2" w:rsidRPr="00DC7A83" w:rsidRDefault="00DC7A83" w:rsidP="009B170C">
      <w:pPr>
        <w:spacing w:before="120" w:after="0" w:line="240" w:lineRule="auto"/>
        <w:rPr>
          <w:lang w:val="en-GB"/>
        </w:rPr>
      </w:pPr>
      <w:r>
        <w:rPr>
          <w:b/>
          <w:lang w:val="en-GB"/>
        </w:rPr>
        <w:t>Table 1</w:t>
      </w:r>
      <w:r w:rsidR="00A44497">
        <w:rPr>
          <w:b/>
          <w:lang w:val="en-GB"/>
        </w:rPr>
        <w:t>4</w:t>
      </w:r>
      <w:r>
        <w:rPr>
          <w:b/>
          <w:lang w:val="en-GB"/>
        </w:rPr>
        <w:t xml:space="preserve">. </w:t>
      </w:r>
      <w:r>
        <w:rPr>
          <w:lang w:val="en-GB"/>
        </w:rPr>
        <w:t>Summary of results: pQCT scans.</w:t>
      </w:r>
    </w:p>
    <w:tbl>
      <w:tblPr>
        <w:tblStyle w:val="Onopgemaaktetabel21"/>
        <w:tblW w:w="0" w:type="auto"/>
        <w:tblLook w:val="04A0" w:firstRow="1" w:lastRow="0" w:firstColumn="1" w:lastColumn="0" w:noHBand="0" w:noVBand="1"/>
      </w:tblPr>
      <w:tblGrid>
        <w:gridCol w:w="1916"/>
        <w:gridCol w:w="1188"/>
        <w:gridCol w:w="1188"/>
        <w:gridCol w:w="1187"/>
        <w:gridCol w:w="1188"/>
        <w:gridCol w:w="1188"/>
        <w:gridCol w:w="1433"/>
      </w:tblGrid>
      <w:tr w:rsidR="00FD5AB2" w:rsidRPr="000737BF" w14:paraId="67BA657E" w14:textId="77777777" w:rsidTr="00DB7C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7"/>
            <w:shd w:val="clear" w:color="auto" w:fill="D9D9D9" w:themeFill="background1" w:themeFillShade="D9"/>
          </w:tcPr>
          <w:p w14:paraId="639F0CC9" w14:textId="77777777" w:rsidR="00FD5AB2" w:rsidRPr="000737BF" w:rsidRDefault="00FD5AB2" w:rsidP="000146E7">
            <w:pPr>
              <w:jc w:val="center"/>
              <w:rPr>
                <w:b w:val="0"/>
                <w:sz w:val="18"/>
                <w:szCs w:val="18"/>
                <w:lang w:val="en-GB"/>
              </w:rPr>
            </w:pPr>
            <w:r>
              <w:rPr>
                <w:sz w:val="18"/>
                <w:szCs w:val="18"/>
                <w:lang w:val="en-GB"/>
              </w:rPr>
              <w:t>Bone - Radius 4%</w:t>
            </w:r>
          </w:p>
        </w:tc>
      </w:tr>
      <w:tr w:rsidR="00FD5AB2" w14:paraId="14FB6D57" w14:textId="77777777" w:rsidTr="00DB7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7"/>
          </w:tcPr>
          <w:p w14:paraId="74D470E1" w14:textId="77777777" w:rsidR="00FD5AB2" w:rsidRDefault="00FD5AB2" w:rsidP="000146E7">
            <w:pPr>
              <w:jc w:val="center"/>
              <w:rPr>
                <w:i/>
                <w:sz w:val="18"/>
                <w:szCs w:val="18"/>
                <w:lang w:val="en-GB"/>
              </w:rPr>
            </w:pPr>
            <w:r>
              <w:rPr>
                <w:i/>
                <w:sz w:val="18"/>
                <w:szCs w:val="18"/>
                <w:lang w:val="en-GB"/>
              </w:rPr>
              <w:t>Total</w:t>
            </w:r>
          </w:p>
        </w:tc>
      </w:tr>
      <w:tr w:rsidR="0014195C" w:rsidRPr="007E1F7D" w14:paraId="70B2E0A2" w14:textId="77777777" w:rsidTr="00DB7C95">
        <w:tc>
          <w:tcPr>
            <w:cnfStyle w:val="001000000000" w:firstRow="0" w:lastRow="0" w:firstColumn="1" w:lastColumn="0" w:oddVBand="0" w:evenVBand="0" w:oddHBand="0" w:evenHBand="0" w:firstRowFirstColumn="0" w:firstRowLastColumn="0" w:lastRowFirstColumn="0" w:lastRowLastColumn="0"/>
            <w:tcW w:w="1916" w:type="dxa"/>
          </w:tcPr>
          <w:p w14:paraId="4565EC51" w14:textId="77777777" w:rsidR="0014195C" w:rsidRPr="007E1F7D" w:rsidRDefault="0014195C" w:rsidP="003C1CD5">
            <w:pPr>
              <w:rPr>
                <w:b w:val="0"/>
                <w:sz w:val="18"/>
                <w:szCs w:val="18"/>
                <w:lang w:val="en-GB"/>
              </w:rPr>
            </w:pPr>
            <w:r>
              <w:rPr>
                <w:b w:val="0"/>
                <w:sz w:val="18"/>
                <w:szCs w:val="18"/>
                <w:lang w:val="en-GB"/>
              </w:rPr>
              <w:t>Location</w:t>
            </w:r>
          </w:p>
        </w:tc>
        <w:tc>
          <w:tcPr>
            <w:tcW w:w="1188" w:type="dxa"/>
          </w:tcPr>
          <w:p w14:paraId="7227C57A"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 L</w:t>
            </w:r>
            <w:r w:rsidRPr="007E1F7D">
              <w:rPr>
                <w:b/>
                <w:sz w:val="18"/>
                <w:szCs w:val="18"/>
                <w:lang w:val="en-GB"/>
              </w:rPr>
              <w:t xml:space="preserve"> </w:t>
            </w:r>
          </w:p>
        </w:tc>
        <w:tc>
          <w:tcPr>
            <w:tcW w:w="1188" w:type="dxa"/>
          </w:tcPr>
          <w:p w14:paraId="7ACFC24B"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 xml:space="preserve">before </w:t>
            </w:r>
            <w:r w:rsidRPr="007E1F7D">
              <w:rPr>
                <w:b/>
                <w:sz w:val="18"/>
                <w:szCs w:val="18"/>
                <w:lang w:val="en-GB"/>
              </w:rPr>
              <w:t>C</w:t>
            </w:r>
            <w:r>
              <w:rPr>
                <w:b/>
                <w:sz w:val="18"/>
                <w:szCs w:val="18"/>
                <w:lang w:val="en-GB"/>
              </w:rPr>
              <w:t>SH</w:t>
            </w:r>
            <w:r w:rsidRPr="007E1F7D">
              <w:rPr>
                <w:b/>
                <w:sz w:val="18"/>
                <w:szCs w:val="18"/>
                <w:lang w:val="en-GB"/>
              </w:rPr>
              <w:t xml:space="preserve"> </w:t>
            </w:r>
          </w:p>
        </w:tc>
        <w:tc>
          <w:tcPr>
            <w:tcW w:w="1187" w:type="dxa"/>
          </w:tcPr>
          <w:p w14:paraId="0F5DA385"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P (L)</w:t>
            </w:r>
          </w:p>
        </w:tc>
        <w:tc>
          <w:tcPr>
            <w:tcW w:w="1188" w:type="dxa"/>
          </w:tcPr>
          <w:p w14:paraId="1656EAED"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w:t>
            </w:r>
            <w:r w:rsidRPr="007E1F7D">
              <w:rPr>
                <w:b/>
                <w:sz w:val="18"/>
                <w:szCs w:val="18"/>
                <w:lang w:val="en-GB"/>
              </w:rPr>
              <w:t xml:space="preserve"> CA</w:t>
            </w:r>
          </w:p>
        </w:tc>
        <w:tc>
          <w:tcPr>
            <w:tcW w:w="1188" w:type="dxa"/>
          </w:tcPr>
          <w:p w14:paraId="1F7F5620"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 CSH</w:t>
            </w:r>
          </w:p>
        </w:tc>
        <w:tc>
          <w:tcPr>
            <w:tcW w:w="1433" w:type="dxa"/>
          </w:tcPr>
          <w:p w14:paraId="7317BCCC"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P (CA)</w:t>
            </w:r>
          </w:p>
        </w:tc>
      </w:tr>
      <w:tr w:rsidR="00FD5AB2" w14:paraId="331F97FC" w14:textId="77777777" w:rsidTr="00DB7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Pr>
          <w:p w14:paraId="75E3753F" w14:textId="77777777" w:rsidR="00FD5AB2" w:rsidRPr="00586B02" w:rsidRDefault="00FD5AB2" w:rsidP="000146E7">
            <w:pPr>
              <w:rPr>
                <w:sz w:val="18"/>
                <w:szCs w:val="18"/>
                <w:lang w:val="en-GB"/>
              </w:rPr>
            </w:pPr>
            <w:r w:rsidRPr="00586B02">
              <w:rPr>
                <w:sz w:val="18"/>
                <w:szCs w:val="18"/>
                <w:lang w:val="en-GB"/>
              </w:rPr>
              <w:t>Area</w:t>
            </w:r>
          </w:p>
        </w:tc>
        <w:tc>
          <w:tcPr>
            <w:tcW w:w="1188" w:type="dxa"/>
          </w:tcPr>
          <w:p w14:paraId="3215EE7E"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332,76</w:t>
            </w:r>
          </w:p>
        </w:tc>
        <w:tc>
          <w:tcPr>
            <w:tcW w:w="1188" w:type="dxa"/>
          </w:tcPr>
          <w:p w14:paraId="0E6B3450"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338,90</w:t>
            </w:r>
          </w:p>
        </w:tc>
        <w:tc>
          <w:tcPr>
            <w:tcW w:w="1187" w:type="dxa"/>
          </w:tcPr>
          <w:p w14:paraId="41C2A10D" w14:textId="77777777" w:rsidR="00FD5AB2" w:rsidRPr="006C115D" w:rsidRDefault="00FD5AB2" w:rsidP="00880463">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0,809</w:t>
            </w:r>
          </w:p>
        </w:tc>
        <w:tc>
          <w:tcPr>
            <w:tcW w:w="1188" w:type="dxa"/>
          </w:tcPr>
          <w:p w14:paraId="62A94E35"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365,15</w:t>
            </w:r>
          </w:p>
        </w:tc>
        <w:tc>
          <w:tcPr>
            <w:tcW w:w="1188" w:type="dxa"/>
          </w:tcPr>
          <w:p w14:paraId="142A22F8"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362,38</w:t>
            </w:r>
          </w:p>
        </w:tc>
        <w:tc>
          <w:tcPr>
            <w:tcW w:w="1433" w:type="dxa"/>
          </w:tcPr>
          <w:p w14:paraId="2F8C4429" w14:textId="77777777" w:rsidR="00FD5AB2" w:rsidRPr="006C115D" w:rsidRDefault="00FD5AB2"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0,784</w:t>
            </w:r>
          </w:p>
        </w:tc>
      </w:tr>
      <w:tr w:rsidR="00FD5AB2" w14:paraId="419856E9" w14:textId="77777777" w:rsidTr="00DB7C95">
        <w:tc>
          <w:tcPr>
            <w:cnfStyle w:val="001000000000" w:firstRow="0" w:lastRow="0" w:firstColumn="1" w:lastColumn="0" w:oddVBand="0" w:evenVBand="0" w:oddHBand="0" w:evenHBand="0" w:firstRowFirstColumn="0" w:firstRowLastColumn="0" w:lastRowFirstColumn="0" w:lastRowLastColumn="0"/>
            <w:tcW w:w="1916" w:type="dxa"/>
          </w:tcPr>
          <w:p w14:paraId="5E167623" w14:textId="77777777" w:rsidR="00FD5AB2" w:rsidRPr="00471EF6" w:rsidRDefault="00A821CE" w:rsidP="000146E7">
            <w:pPr>
              <w:rPr>
                <w:sz w:val="18"/>
                <w:szCs w:val="18"/>
                <w:lang w:val="en-GB"/>
              </w:rPr>
            </w:pPr>
            <w:r>
              <w:rPr>
                <w:sz w:val="18"/>
                <w:szCs w:val="18"/>
                <w:lang w:val="en-GB"/>
              </w:rPr>
              <w:t>vBMC</w:t>
            </w:r>
          </w:p>
        </w:tc>
        <w:tc>
          <w:tcPr>
            <w:tcW w:w="1188" w:type="dxa"/>
          </w:tcPr>
          <w:p w14:paraId="1EBF0385" w14:textId="77777777" w:rsidR="00FD5AB2" w:rsidRPr="00471EF6" w:rsidRDefault="00FD5AB2"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105,56</w:t>
            </w:r>
          </w:p>
        </w:tc>
        <w:tc>
          <w:tcPr>
            <w:tcW w:w="1188" w:type="dxa"/>
          </w:tcPr>
          <w:p w14:paraId="20F6C0E3" w14:textId="77777777" w:rsidR="00FD5AB2" w:rsidRPr="00471EF6" w:rsidRDefault="00FD5AB2"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109,12</w:t>
            </w:r>
          </w:p>
        </w:tc>
        <w:tc>
          <w:tcPr>
            <w:tcW w:w="1187" w:type="dxa"/>
          </w:tcPr>
          <w:p w14:paraId="35528774" w14:textId="2F9C7D69" w:rsidR="00FD5AB2" w:rsidRPr="006C115D" w:rsidRDefault="00FD5AB2" w:rsidP="00880463">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0,011</w:t>
            </w:r>
            <w:r w:rsidR="00880463">
              <w:rPr>
                <w:i/>
                <w:sz w:val="18"/>
                <w:szCs w:val="18"/>
                <w:lang w:val="en-GB"/>
              </w:rPr>
              <w:t>*</w:t>
            </w:r>
          </w:p>
        </w:tc>
        <w:tc>
          <w:tcPr>
            <w:tcW w:w="1188" w:type="dxa"/>
          </w:tcPr>
          <w:p w14:paraId="3A232F74" w14:textId="77777777" w:rsidR="00FD5AB2" w:rsidRPr="00471EF6" w:rsidRDefault="00FD5AB2"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114,55</w:t>
            </w:r>
          </w:p>
        </w:tc>
        <w:tc>
          <w:tcPr>
            <w:tcW w:w="1188" w:type="dxa"/>
          </w:tcPr>
          <w:p w14:paraId="72E04576" w14:textId="77777777" w:rsidR="00FD5AB2" w:rsidRPr="00471EF6" w:rsidRDefault="00FD5AB2"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116,09</w:t>
            </w:r>
          </w:p>
        </w:tc>
        <w:tc>
          <w:tcPr>
            <w:tcW w:w="1433" w:type="dxa"/>
          </w:tcPr>
          <w:p w14:paraId="20D5B548" w14:textId="77777777" w:rsidR="00FD5AB2" w:rsidRPr="006C115D" w:rsidRDefault="00FD5AB2"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0,375</w:t>
            </w:r>
          </w:p>
        </w:tc>
      </w:tr>
      <w:tr w:rsidR="00FD5AB2" w14:paraId="60D3FF01" w14:textId="77777777" w:rsidTr="00DB7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Pr>
          <w:p w14:paraId="0C4AF4A0" w14:textId="77777777" w:rsidR="00FD5AB2" w:rsidRPr="00471EF6" w:rsidRDefault="00A821CE" w:rsidP="000146E7">
            <w:pPr>
              <w:rPr>
                <w:sz w:val="18"/>
                <w:szCs w:val="18"/>
                <w:lang w:val="en-GB"/>
              </w:rPr>
            </w:pPr>
            <w:r>
              <w:rPr>
                <w:sz w:val="18"/>
                <w:szCs w:val="18"/>
                <w:lang w:val="en-GB"/>
              </w:rPr>
              <w:t>vBMD</w:t>
            </w:r>
          </w:p>
        </w:tc>
        <w:tc>
          <w:tcPr>
            <w:tcW w:w="1188" w:type="dxa"/>
          </w:tcPr>
          <w:p w14:paraId="329758A5"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321,40</w:t>
            </w:r>
          </w:p>
        </w:tc>
        <w:tc>
          <w:tcPr>
            <w:tcW w:w="1188" w:type="dxa"/>
          </w:tcPr>
          <w:p w14:paraId="73308675"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323,63</w:t>
            </w:r>
          </w:p>
        </w:tc>
        <w:tc>
          <w:tcPr>
            <w:tcW w:w="1187" w:type="dxa"/>
          </w:tcPr>
          <w:p w14:paraId="27A33283" w14:textId="77777777" w:rsidR="00FD5AB2" w:rsidRPr="006C115D" w:rsidRDefault="00FD5AB2" w:rsidP="00880463">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0,205</w:t>
            </w:r>
          </w:p>
        </w:tc>
        <w:tc>
          <w:tcPr>
            <w:tcW w:w="1188" w:type="dxa"/>
          </w:tcPr>
          <w:p w14:paraId="3AD596BE"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318,47</w:t>
            </w:r>
          </w:p>
        </w:tc>
        <w:tc>
          <w:tcPr>
            <w:tcW w:w="1188" w:type="dxa"/>
          </w:tcPr>
          <w:p w14:paraId="2F04D7FB"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322,99</w:t>
            </w:r>
          </w:p>
        </w:tc>
        <w:tc>
          <w:tcPr>
            <w:tcW w:w="1433" w:type="dxa"/>
          </w:tcPr>
          <w:p w14:paraId="67DE93AB" w14:textId="77777777" w:rsidR="00FD5AB2" w:rsidRPr="006C115D" w:rsidRDefault="00FD5AB2"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0,558</w:t>
            </w:r>
          </w:p>
        </w:tc>
      </w:tr>
      <w:tr w:rsidR="00FD5AB2" w:rsidRPr="00D600B6" w14:paraId="306B2E1B" w14:textId="77777777" w:rsidTr="00DB7C95">
        <w:tc>
          <w:tcPr>
            <w:cnfStyle w:val="001000000000" w:firstRow="0" w:lastRow="0" w:firstColumn="1" w:lastColumn="0" w:oddVBand="0" w:evenVBand="0" w:oddHBand="0" w:evenHBand="0" w:firstRowFirstColumn="0" w:firstRowLastColumn="0" w:lastRowFirstColumn="0" w:lastRowLastColumn="0"/>
            <w:tcW w:w="1916" w:type="dxa"/>
          </w:tcPr>
          <w:p w14:paraId="3FEABB2E" w14:textId="5967F4E2" w:rsidR="00FD5AB2" w:rsidRPr="00D600B6" w:rsidRDefault="00E04B7C" w:rsidP="000146E7">
            <w:pPr>
              <w:rPr>
                <w:sz w:val="18"/>
                <w:szCs w:val="18"/>
                <w:lang w:val="en-GB"/>
              </w:rPr>
            </w:pPr>
            <w:r>
              <w:rPr>
                <w:sz w:val="18"/>
                <w:szCs w:val="18"/>
                <w:lang w:val="en-GB"/>
              </w:rPr>
              <w:t>Z-scores: vBMD</w:t>
            </w:r>
          </w:p>
        </w:tc>
        <w:tc>
          <w:tcPr>
            <w:tcW w:w="1188" w:type="dxa"/>
          </w:tcPr>
          <w:p w14:paraId="2B1BAA2E" w14:textId="77777777" w:rsidR="00FD5AB2" w:rsidRPr="00D600B6" w:rsidRDefault="00FD5AB2"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-0,572</w:t>
            </w:r>
          </w:p>
        </w:tc>
        <w:tc>
          <w:tcPr>
            <w:tcW w:w="1188" w:type="dxa"/>
          </w:tcPr>
          <w:p w14:paraId="5F5C71B6" w14:textId="77777777" w:rsidR="00FD5AB2" w:rsidRPr="00D600B6" w:rsidRDefault="00FD5AB2"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-0,697</w:t>
            </w:r>
          </w:p>
        </w:tc>
        <w:tc>
          <w:tcPr>
            <w:tcW w:w="1187" w:type="dxa"/>
          </w:tcPr>
          <w:p w14:paraId="78834C7F" w14:textId="77777777" w:rsidR="00FD5AB2" w:rsidRPr="00D600B6" w:rsidRDefault="00FD5AB2" w:rsidP="00880463">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0,436</w:t>
            </w:r>
          </w:p>
        </w:tc>
        <w:tc>
          <w:tcPr>
            <w:tcW w:w="1188" w:type="dxa"/>
          </w:tcPr>
          <w:p w14:paraId="601AAE3A" w14:textId="77777777" w:rsidR="00FD5AB2" w:rsidRPr="00D600B6" w:rsidRDefault="00FD5AB2"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-0,817</w:t>
            </w:r>
          </w:p>
        </w:tc>
        <w:tc>
          <w:tcPr>
            <w:tcW w:w="1188" w:type="dxa"/>
          </w:tcPr>
          <w:p w14:paraId="7A9ADE47" w14:textId="77777777" w:rsidR="00FD5AB2" w:rsidRPr="00D600B6" w:rsidRDefault="00FD5AB2"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-1,075</w:t>
            </w:r>
          </w:p>
        </w:tc>
        <w:tc>
          <w:tcPr>
            <w:tcW w:w="1433" w:type="dxa"/>
          </w:tcPr>
          <w:p w14:paraId="224E499F" w14:textId="287EAAEA" w:rsidR="00FD5AB2" w:rsidRPr="00D600B6" w:rsidRDefault="00FD5AB2"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0,023</w:t>
            </w:r>
            <w:r w:rsidR="00880463">
              <w:rPr>
                <w:sz w:val="18"/>
                <w:szCs w:val="18"/>
                <w:lang w:val="en-GB"/>
              </w:rPr>
              <w:t>*</w:t>
            </w:r>
          </w:p>
        </w:tc>
      </w:tr>
      <w:tr w:rsidR="00FD5AB2" w14:paraId="68C02859" w14:textId="77777777" w:rsidTr="00DB7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7"/>
          </w:tcPr>
          <w:p w14:paraId="1AD49761" w14:textId="77777777" w:rsidR="00FD5AB2" w:rsidRDefault="00FD5AB2" w:rsidP="000146E7">
            <w:pPr>
              <w:jc w:val="center"/>
              <w:rPr>
                <w:i/>
                <w:sz w:val="18"/>
                <w:szCs w:val="18"/>
                <w:lang w:val="en-GB"/>
              </w:rPr>
            </w:pPr>
            <w:r>
              <w:rPr>
                <w:i/>
                <w:sz w:val="18"/>
                <w:szCs w:val="18"/>
                <w:lang w:val="en-GB"/>
              </w:rPr>
              <w:t>Trabecular</w:t>
            </w:r>
          </w:p>
        </w:tc>
      </w:tr>
      <w:tr w:rsidR="0014195C" w:rsidRPr="007E1F7D" w14:paraId="4BFA1786" w14:textId="77777777" w:rsidTr="00DB7C95">
        <w:tc>
          <w:tcPr>
            <w:cnfStyle w:val="001000000000" w:firstRow="0" w:lastRow="0" w:firstColumn="1" w:lastColumn="0" w:oddVBand="0" w:evenVBand="0" w:oddHBand="0" w:evenHBand="0" w:firstRowFirstColumn="0" w:firstRowLastColumn="0" w:lastRowFirstColumn="0" w:lastRowLastColumn="0"/>
            <w:tcW w:w="1916" w:type="dxa"/>
          </w:tcPr>
          <w:p w14:paraId="60B17DBA" w14:textId="77777777" w:rsidR="0014195C" w:rsidRPr="007E1F7D" w:rsidRDefault="0014195C" w:rsidP="003C1CD5">
            <w:pPr>
              <w:rPr>
                <w:b w:val="0"/>
                <w:sz w:val="18"/>
                <w:szCs w:val="18"/>
                <w:lang w:val="en-GB"/>
              </w:rPr>
            </w:pPr>
            <w:r>
              <w:rPr>
                <w:b w:val="0"/>
                <w:sz w:val="18"/>
                <w:szCs w:val="18"/>
                <w:lang w:val="en-GB"/>
              </w:rPr>
              <w:t>Location</w:t>
            </w:r>
          </w:p>
        </w:tc>
        <w:tc>
          <w:tcPr>
            <w:tcW w:w="1188" w:type="dxa"/>
          </w:tcPr>
          <w:p w14:paraId="14313FF0"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 L</w:t>
            </w:r>
            <w:r w:rsidRPr="007E1F7D">
              <w:rPr>
                <w:b/>
                <w:sz w:val="18"/>
                <w:szCs w:val="18"/>
                <w:lang w:val="en-GB"/>
              </w:rPr>
              <w:t xml:space="preserve"> </w:t>
            </w:r>
          </w:p>
        </w:tc>
        <w:tc>
          <w:tcPr>
            <w:tcW w:w="1188" w:type="dxa"/>
          </w:tcPr>
          <w:p w14:paraId="406E8BDE"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 xml:space="preserve">before </w:t>
            </w:r>
            <w:r w:rsidRPr="007E1F7D">
              <w:rPr>
                <w:b/>
                <w:sz w:val="18"/>
                <w:szCs w:val="18"/>
                <w:lang w:val="en-GB"/>
              </w:rPr>
              <w:t>C</w:t>
            </w:r>
            <w:r>
              <w:rPr>
                <w:b/>
                <w:sz w:val="18"/>
                <w:szCs w:val="18"/>
                <w:lang w:val="en-GB"/>
              </w:rPr>
              <w:t>SH</w:t>
            </w:r>
            <w:r w:rsidRPr="007E1F7D">
              <w:rPr>
                <w:b/>
                <w:sz w:val="18"/>
                <w:szCs w:val="18"/>
                <w:lang w:val="en-GB"/>
              </w:rPr>
              <w:t xml:space="preserve"> </w:t>
            </w:r>
          </w:p>
        </w:tc>
        <w:tc>
          <w:tcPr>
            <w:tcW w:w="1187" w:type="dxa"/>
          </w:tcPr>
          <w:p w14:paraId="6BF88788"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P (L)</w:t>
            </w:r>
          </w:p>
        </w:tc>
        <w:tc>
          <w:tcPr>
            <w:tcW w:w="1188" w:type="dxa"/>
          </w:tcPr>
          <w:p w14:paraId="38745BFA"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w:t>
            </w:r>
            <w:r w:rsidRPr="007E1F7D">
              <w:rPr>
                <w:b/>
                <w:sz w:val="18"/>
                <w:szCs w:val="18"/>
                <w:lang w:val="en-GB"/>
              </w:rPr>
              <w:t xml:space="preserve"> CA</w:t>
            </w:r>
          </w:p>
        </w:tc>
        <w:tc>
          <w:tcPr>
            <w:tcW w:w="1188" w:type="dxa"/>
          </w:tcPr>
          <w:p w14:paraId="62F94B21"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 CSH</w:t>
            </w:r>
          </w:p>
        </w:tc>
        <w:tc>
          <w:tcPr>
            <w:tcW w:w="1433" w:type="dxa"/>
          </w:tcPr>
          <w:p w14:paraId="10C40B81"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P (CA)</w:t>
            </w:r>
          </w:p>
        </w:tc>
      </w:tr>
      <w:tr w:rsidR="00FD5AB2" w14:paraId="1CB01DB4" w14:textId="77777777" w:rsidTr="00DB7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Pr>
          <w:p w14:paraId="0E57B9F2" w14:textId="77777777" w:rsidR="00FD5AB2" w:rsidRPr="00586B02" w:rsidRDefault="00FD5AB2" w:rsidP="000146E7">
            <w:pPr>
              <w:rPr>
                <w:sz w:val="18"/>
                <w:szCs w:val="18"/>
                <w:lang w:val="en-GB"/>
              </w:rPr>
            </w:pPr>
            <w:r>
              <w:rPr>
                <w:sz w:val="18"/>
                <w:szCs w:val="18"/>
                <w:lang w:val="en-GB"/>
              </w:rPr>
              <w:t>A</w:t>
            </w:r>
            <w:r w:rsidRPr="00586B02">
              <w:rPr>
                <w:sz w:val="18"/>
                <w:szCs w:val="18"/>
                <w:lang w:val="en-GB"/>
              </w:rPr>
              <w:t>rea</w:t>
            </w:r>
          </w:p>
        </w:tc>
        <w:tc>
          <w:tcPr>
            <w:tcW w:w="1188" w:type="dxa"/>
          </w:tcPr>
          <w:p w14:paraId="56852C3D"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150,59</w:t>
            </w:r>
          </w:p>
        </w:tc>
        <w:tc>
          <w:tcPr>
            <w:tcW w:w="1188" w:type="dxa"/>
          </w:tcPr>
          <w:p w14:paraId="4DFF0A42"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152,69</w:t>
            </w:r>
          </w:p>
        </w:tc>
        <w:tc>
          <w:tcPr>
            <w:tcW w:w="1187" w:type="dxa"/>
          </w:tcPr>
          <w:p w14:paraId="4C39679C" w14:textId="77777777" w:rsidR="00FD5AB2" w:rsidRPr="006C115D" w:rsidRDefault="00FD5AB2"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0,845</w:t>
            </w:r>
          </w:p>
        </w:tc>
        <w:tc>
          <w:tcPr>
            <w:tcW w:w="1188" w:type="dxa"/>
          </w:tcPr>
          <w:p w14:paraId="51489926"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164,19</w:t>
            </w:r>
          </w:p>
        </w:tc>
        <w:tc>
          <w:tcPr>
            <w:tcW w:w="1188" w:type="dxa"/>
          </w:tcPr>
          <w:p w14:paraId="69281999"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162,96</w:t>
            </w:r>
          </w:p>
        </w:tc>
        <w:tc>
          <w:tcPr>
            <w:tcW w:w="1433" w:type="dxa"/>
          </w:tcPr>
          <w:p w14:paraId="426AF7C5" w14:textId="77777777" w:rsidR="00FD5AB2" w:rsidRPr="006C115D" w:rsidRDefault="00FD5AB2"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0,788</w:t>
            </w:r>
          </w:p>
        </w:tc>
      </w:tr>
      <w:tr w:rsidR="00A821CE" w14:paraId="05329EF0" w14:textId="77777777" w:rsidTr="00DB7C95">
        <w:tc>
          <w:tcPr>
            <w:cnfStyle w:val="001000000000" w:firstRow="0" w:lastRow="0" w:firstColumn="1" w:lastColumn="0" w:oddVBand="0" w:evenVBand="0" w:oddHBand="0" w:evenHBand="0" w:firstRowFirstColumn="0" w:firstRowLastColumn="0" w:lastRowFirstColumn="0" w:lastRowLastColumn="0"/>
            <w:tcW w:w="1916" w:type="dxa"/>
          </w:tcPr>
          <w:p w14:paraId="2B7053C4" w14:textId="77777777" w:rsidR="00A821CE" w:rsidRPr="00471EF6" w:rsidRDefault="00A821CE" w:rsidP="00431BC9">
            <w:pPr>
              <w:rPr>
                <w:sz w:val="18"/>
                <w:szCs w:val="18"/>
                <w:lang w:val="en-GB"/>
              </w:rPr>
            </w:pPr>
            <w:r>
              <w:rPr>
                <w:sz w:val="18"/>
                <w:szCs w:val="18"/>
                <w:lang w:val="en-GB"/>
              </w:rPr>
              <w:t>vBMC</w:t>
            </w:r>
          </w:p>
        </w:tc>
        <w:tc>
          <w:tcPr>
            <w:tcW w:w="1188" w:type="dxa"/>
          </w:tcPr>
          <w:p w14:paraId="0F4A43B9"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27,87</w:t>
            </w:r>
          </w:p>
        </w:tc>
        <w:tc>
          <w:tcPr>
            <w:tcW w:w="1188" w:type="dxa"/>
          </w:tcPr>
          <w:p w14:paraId="2F14C88E"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28,83</w:t>
            </w:r>
          </w:p>
        </w:tc>
        <w:tc>
          <w:tcPr>
            <w:tcW w:w="1187" w:type="dxa"/>
          </w:tcPr>
          <w:p w14:paraId="4B5EB9D7" w14:textId="77777777" w:rsidR="00A821CE" w:rsidRPr="006C115D" w:rsidRDefault="00A821CE"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0,266</w:t>
            </w:r>
          </w:p>
        </w:tc>
        <w:tc>
          <w:tcPr>
            <w:tcW w:w="1188" w:type="dxa"/>
          </w:tcPr>
          <w:p w14:paraId="0C0C472C"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33,26</w:t>
            </w:r>
          </w:p>
        </w:tc>
        <w:tc>
          <w:tcPr>
            <w:tcW w:w="1188" w:type="dxa"/>
          </w:tcPr>
          <w:p w14:paraId="4E132333"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31,83</w:t>
            </w:r>
          </w:p>
        </w:tc>
        <w:tc>
          <w:tcPr>
            <w:tcW w:w="1433" w:type="dxa"/>
          </w:tcPr>
          <w:p w14:paraId="4F3A288E" w14:textId="77777777" w:rsidR="00A821CE" w:rsidRPr="006C115D" w:rsidRDefault="00A821CE"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0,264</w:t>
            </w:r>
          </w:p>
        </w:tc>
      </w:tr>
      <w:tr w:rsidR="00A821CE" w14:paraId="605CCBF8" w14:textId="77777777" w:rsidTr="00DB7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Pr>
          <w:p w14:paraId="02081E61" w14:textId="77777777" w:rsidR="00A821CE" w:rsidRPr="00471EF6" w:rsidRDefault="00A821CE" w:rsidP="00431BC9">
            <w:pPr>
              <w:rPr>
                <w:sz w:val="18"/>
                <w:szCs w:val="18"/>
                <w:lang w:val="en-GB"/>
              </w:rPr>
            </w:pPr>
            <w:r>
              <w:rPr>
                <w:sz w:val="18"/>
                <w:szCs w:val="18"/>
                <w:lang w:val="en-GB"/>
              </w:rPr>
              <w:t>vBMD</w:t>
            </w:r>
          </w:p>
        </w:tc>
        <w:tc>
          <w:tcPr>
            <w:tcW w:w="1188" w:type="dxa"/>
          </w:tcPr>
          <w:p w14:paraId="0C8223C4" w14:textId="77777777" w:rsidR="00A821CE" w:rsidRPr="00471EF6" w:rsidRDefault="00A821CE"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187,06</w:t>
            </w:r>
          </w:p>
        </w:tc>
        <w:tc>
          <w:tcPr>
            <w:tcW w:w="1188" w:type="dxa"/>
          </w:tcPr>
          <w:p w14:paraId="77A2D657" w14:textId="77777777" w:rsidR="00A821CE" w:rsidRPr="00471EF6" w:rsidRDefault="00A821CE"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189,66</w:t>
            </w:r>
          </w:p>
        </w:tc>
        <w:tc>
          <w:tcPr>
            <w:tcW w:w="1187" w:type="dxa"/>
          </w:tcPr>
          <w:p w14:paraId="3D05CB05" w14:textId="77777777" w:rsidR="00A821CE" w:rsidRPr="006C115D" w:rsidRDefault="00A821CE"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0,126</w:t>
            </w:r>
          </w:p>
        </w:tc>
        <w:tc>
          <w:tcPr>
            <w:tcW w:w="1188" w:type="dxa"/>
          </w:tcPr>
          <w:p w14:paraId="224A6073" w14:textId="77777777" w:rsidR="00A821CE" w:rsidRPr="00471EF6" w:rsidRDefault="00A821CE"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203,89</w:t>
            </w:r>
          </w:p>
        </w:tc>
        <w:tc>
          <w:tcPr>
            <w:tcW w:w="1188" w:type="dxa"/>
          </w:tcPr>
          <w:p w14:paraId="1A62E941" w14:textId="77777777" w:rsidR="00A821CE" w:rsidRPr="00471EF6" w:rsidRDefault="00A821CE"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195,80</w:t>
            </w:r>
          </w:p>
        </w:tc>
        <w:tc>
          <w:tcPr>
            <w:tcW w:w="1433" w:type="dxa"/>
          </w:tcPr>
          <w:p w14:paraId="5F9B3568" w14:textId="3A6884AE" w:rsidR="00A821CE" w:rsidRPr="006C115D" w:rsidRDefault="00A821CE"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0,016</w:t>
            </w:r>
            <w:r w:rsidR="00880463">
              <w:rPr>
                <w:i/>
                <w:sz w:val="18"/>
                <w:szCs w:val="18"/>
                <w:lang w:val="en-GB"/>
              </w:rPr>
              <w:t>*</w:t>
            </w:r>
          </w:p>
        </w:tc>
      </w:tr>
      <w:tr w:rsidR="00A821CE" w14:paraId="2216A4A1" w14:textId="77777777" w:rsidTr="00DB7C95">
        <w:tc>
          <w:tcPr>
            <w:cnfStyle w:val="001000000000" w:firstRow="0" w:lastRow="0" w:firstColumn="1" w:lastColumn="0" w:oddVBand="0" w:evenVBand="0" w:oddHBand="0" w:evenHBand="0" w:firstRowFirstColumn="0" w:firstRowLastColumn="0" w:lastRowFirstColumn="0" w:lastRowLastColumn="0"/>
            <w:tcW w:w="1916" w:type="dxa"/>
          </w:tcPr>
          <w:p w14:paraId="6309C63A" w14:textId="161BCC51" w:rsidR="00A821CE" w:rsidRPr="00D600B6" w:rsidRDefault="00E04B7C" w:rsidP="00431BC9">
            <w:pPr>
              <w:rPr>
                <w:sz w:val="18"/>
                <w:szCs w:val="18"/>
                <w:lang w:val="en-GB"/>
              </w:rPr>
            </w:pPr>
            <w:r>
              <w:rPr>
                <w:sz w:val="18"/>
                <w:szCs w:val="18"/>
                <w:lang w:val="en-GB"/>
              </w:rPr>
              <w:t>Z-scores: vBMD</w:t>
            </w:r>
          </w:p>
        </w:tc>
        <w:tc>
          <w:tcPr>
            <w:tcW w:w="1188" w:type="dxa"/>
          </w:tcPr>
          <w:p w14:paraId="090696CF"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-0,038</w:t>
            </w:r>
          </w:p>
        </w:tc>
        <w:tc>
          <w:tcPr>
            <w:tcW w:w="1188" w:type="dxa"/>
          </w:tcPr>
          <w:p w14:paraId="5CD440B7"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-0,062</w:t>
            </w:r>
          </w:p>
        </w:tc>
        <w:tc>
          <w:tcPr>
            <w:tcW w:w="1187" w:type="dxa"/>
          </w:tcPr>
          <w:p w14:paraId="55C38B30" w14:textId="77777777" w:rsidR="00A821CE" w:rsidRPr="006C115D" w:rsidRDefault="00A821CE"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0,626</w:t>
            </w:r>
          </w:p>
        </w:tc>
        <w:tc>
          <w:tcPr>
            <w:tcW w:w="1188" w:type="dxa"/>
          </w:tcPr>
          <w:p w14:paraId="49BFA10E"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-0,317</w:t>
            </w:r>
          </w:p>
        </w:tc>
        <w:tc>
          <w:tcPr>
            <w:tcW w:w="1188" w:type="dxa"/>
          </w:tcPr>
          <w:p w14:paraId="57927026"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-0,667</w:t>
            </w:r>
          </w:p>
        </w:tc>
        <w:tc>
          <w:tcPr>
            <w:tcW w:w="1433" w:type="dxa"/>
          </w:tcPr>
          <w:p w14:paraId="27E54862" w14:textId="1410BA4A" w:rsidR="00A821CE" w:rsidRPr="006C115D" w:rsidRDefault="00A821CE"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0,046</w:t>
            </w:r>
            <w:r w:rsidR="00880463">
              <w:rPr>
                <w:i/>
                <w:sz w:val="18"/>
                <w:szCs w:val="18"/>
                <w:lang w:val="en-GB"/>
              </w:rPr>
              <w:t>*</w:t>
            </w:r>
          </w:p>
        </w:tc>
      </w:tr>
    </w:tbl>
    <w:p w14:paraId="4F4872F6" w14:textId="745AD881" w:rsidR="004C7E83" w:rsidRDefault="004C7E83"/>
    <w:p w14:paraId="5C30C26D" w14:textId="1C410CA6" w:rsidR="004C7E83" w:rsidRDefault="004C7E83"/>
    <w:p w14:paraId="068F08A9" w14:textId="0B1DCF42" w:rsidR="00B13FF2" w:rsidRDefault="00B13FF2">
      <w:r>
        <w:br w:type="page"/>
      </w:r>
    </w:p>
    <w:tbl>
      <w:tblPr>
        <w:tblStyle w:val="Onopgemaaktetabel21"/>
        <w:tblW w:w="0" w:type="auto"/>
        <w:tblLook w:val="04A0" w:firstRow="1" w:lastRow="0" w:firstColumn="1" w:lastColumn="0" w:noHBand="0" w:noVBand="1"/>
      </w:tblPr>
      <w:tblGrid>
        <w:gridCol w:w="1916"/>
        <w:gridCol w:w="35"/>
        <w:gridCol w:w="1153"/>
        <w:gridCol w:w="57"/>
        <w:gridCol w:w="1131"/>
        <w:gridCol w:w="79"/>
        <w:gridCol w:w="1108"/>
        <w:gridCol w:w="102"/>
        <w:gridCol w:w="1086"/>
        <w:gridCol w:w="124"/>
        <w:gridCol w:w="1064"/>
        <w:gridCol w:w="146"/>
        <w:gridCol w:w="1211"/>
        <w:gridCol w:w="76"/>
      </w:tblGrid>
      <w:tr w:rsidR="00FD5AB2" w:rsidRPr="000737BF" w14:paraId="49EC904B" w14:textId="77777777" w:rsidTr="00DB7C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14"/>
            <w:shd w:val="clear" w:color="auto" w:fill="D9D9D9" w:themeFill="background1" w:themeFillShade="D9"/>
          </w:tcPr>
          <w:p w14:paraId="59B683D6" w14:textId="77777777" w:rsidR="00FD5AB2" w:rsidRPr="000737BF" w:rsidRDefault="00FD5AB2" w:rsidP="000146E7">
            <w:pPr>
              <w:jc w:val="center"/>
              <w:rPr>
                <w:b w:val="0"/>
                <w:sz w:val="18"/>
                <w:szCs w:val="18"/>
                <w:lang w:val="en-GB"/>
              </w:rPr>
            </w:pPr>
            <w:r>
              <w:rPr>
                <w:sz w:val="18"/>
                <w:szCs w:val="18"/>
                <w:lang w:val="en-GB"/>
              </w:rPr>
              <w:lastRenderedPageBreak/>
              <w:t xml:space="preserve">Bone - </w:t>
            </w:r>
            <w:r w:rsidRPr="000737BF">
              <w:rPr>
                <w:sz w:val="18"/>
                <w:szCs w:val="18"/>
                <w:lang w:val="en-GB"/>
              </w:rPr>
              <w:t>Tibia 4%</w:t>
            </w:r>
          </w:p>
        </w:tc>
      </w:tr>
      <w:tr w:rsidR="00FD5AB2" w14:paraId="276FC6DB" w14:textId="77777777" w:rsidTr="00DB7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14"/>
          </w:tcPr>
          <w:p w14:paraId="13686823" w14:textId="77777777" w:rsidR="00FD5AB2" w:rsidRDefault="00FD5AB2" w:rsidP="000146E7">
            <w:pPr>
              <w:jc w:val="center"/>
              <w:rPr>
                <w:i/>
                <w:sz w:val="18"/>
                <w:szCs w:val="18"/>
                <w:lang w:val="en-GB"/>
              </w:rPr>
            </w:pPr>
            <w:r>
              <w:rPr>
                <w:i/>
                <w:sz w:val="18"/>
                <w:szCs w:val="18"/>
                <w:lang w:val="en-GB"/>
              </w:rPr>
              <w:t>Total</w:t>
            </w:r>
          </w:p>
        </w:tc>
      </w:tr>
      <w:tr w:rsidR="0014195C" w:rsidRPr="007E1F7D" w14:paraId="25514308" w14:textId="77777777" w:rsidTr="00DB7C95">
        <w:tc>
          <w:tcPr>
            <w:cnfStyle w:val="001000000000" w:firstRow="0" w:lastRow="0" w:firstColumn="1" w:lastColumn="0" w:oddVBand="0" w:evenVBand="0" w:oddHBand="0" w:evenHBand="0" w:firstRowFirstColumn="0" w:firstRowLastColumn="0" w:lastRowFirstColumn="0" w:lastRowLastColumn="0"/>
            <w:tcW w:w="1916" w:type="dxa"/>
          </w:tcPr>
          <w:p w14:paraId="628DB5AB" w14:textId="77777777" w:rsidR="0014195C" w:rsidRPr="007E1F7D" w:rsidRDefault="0014195C" w:rsidP="003C1CD5">
            <w:pPr>
              <w:rPr>
                <w:b w:val="0"/>
                <w:sz w:val="18"/>
                <w:szCs w:val="18"/>
                <w:lang w:val="en-GB"/>
              </w:rPr>
            </w:pPr>
            <w:r>
              <w:rPr>
                <w:b w:val="0"/>
                <w:sz w:val="18"/>
                <w:szCs w:val="18"/>
                <w:lang w:val="en-GB"/>
              </w:rPr>
              <w:t>Location</w:t>
            </w:r>
          </w:p>
        </w:tc>
        <w:tc>
          <w:tcPr>
            <w:tcW w:w="1188" w:type="dxa"/>
            <w:gridSpan w:val="2"/>
          </w:tcPr>
          <w:p w14:paraId="717F3BA2"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 L</w:t>
            </w:r>
            <w:r w:rsidRPr="007E1F7D">
              <w:rPr>
                <w:b/>
                <w:sz w:val="18"/>
                <w:szCs w:val="18"/>
                <w:lang w:val="en-GB"/>
              </w:rPr>
              <w:t xml:space="preserve"> </w:t>
            </w:r>
          </w:p>
        </w:tc>
        <w:tc>
          <w:tcPr>
            <w:tcW w:w="1188" w:type="dxa"/>
            <w:gridSpan w:val="2"/>
          </w:tcPr>
          <w:p w14:paraId="391F9FE0"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 xml:space="preserve">before </w:t>
            </w:r>
            <w:r w:rsidRPr="007E1F7D">
              <w:rPr>
                <w:b/>
                <w:sz w:val="18"/>
                <w:szCs w:val="18"/>
                <w:lang w:val="en-GB"/>
              </w:rPr>
              <w:t>C</w:t>
            </w:r>
            <w:r>
              <w:rPr>
                <w:b/>
                <w:sz w:val="18"/>
                <w:szCs w:val="18"/>
                <w:lang w:val="en-GB"/>
              </w:rPr>
              <w:t>SH</w:t>
            </w:r>
            <w:r w:rsidRPr="007E1F7D">
              <w:rPr>
                <w:b/>
                <w:sz w:val="18"/>
                <w:szCs w:val="18"/>
                <w:lang w:val="en-GB"/>
              </w:rPr>
              <w:t xml:space="preserve"> </w:t>
            </w:r>
          </w:p>
        </w:tc>
        <w:tc>
          <w:tcPr>
            <w:tcW w:w="1187" w:type="dxa"/>
            <w:gridSpan w:val="2"/>
          </w:tcPr>
          <w:p w14:paraId="0D452F1E"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P (L)</w:t>
            </w:r>
          </w:p>
        </w:tc>
        <w:tc>
          <w:tcPr>
            <w:tcW w:w="1188" w:type="dxa"/>
            <w:gridSpan w:val="2"/>
          </w:tcPr>
          <w:p w14:paraId="322D441A"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w:t>
            </w:r>
            <w:r w:rsidRPr="007E1F7D">
              <w:rPr>
                <w:b/>
                <w:sz w:val="18"/>
                <w:szCs w:val="18"/>
                <w:lang w:val="en-GB"/>
              </w:rPr>
              <w:t xml:space="preserve"> CA</w:t>
            </w:r>
          </w:p>
        </w:tc>
        <w:tc>
          <w:tcPr>
            <w:tcW w:w="1188" w:type="dxa"/>
            <w:gridSpan w:val="2"/>
          </w:tcPr>
          <w:p w14:paraId="0D9A67C0"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 CSH</w:t>
            </w:r>
          </w:p>
        </w:tc>
        <w:tc>
          <w:tcPr>
            <w:tcW w:w="1433" w:type="dxa"/>
            <w:gridSpan w:val="3"/>
          </w:tcPr>
          <w:p w14:paraId="778ADD1B"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P (CA)</w:t>
            </w:r>
          </w:p>
        </w:tc>
      </w:tr>
      <w:tr w:rsidR="00FD5AB2" w14:paraId="53F59FF4" w14:textId="77777777" w:rsidTr="00DB7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Pr>
          <w:p w14:paraId="489495DA" w14:textId="77777777" w:rsidR="00FD5AB2" w:rsidRPr="00586B02" w:rsidRDefault="00FD5AB2" w:rsidP="000146E7">
            <w:pPr>
              <w:rPr>
                <w:sz w:val="18"/>
                <w:szCs w:val="18"/>
                <w:lang w:val="en-GB"/>
              </w:rPr>
            </w:pPr>
            <w:r w:rsidRPr="00586B02">
              <w:rPr>
                <w:sz w:val="18"/>
                <w:szCs w:val="18"/>
                <w:lang w:val="en-GB"/>
              </w:rPr>
              <w:t>Area</w:t>
            </w:r>
          </w:p>
        </w:tc>
        <w:tc>
          <w:tcPr>
            <w:tcW w:w="1188" w:type="dxa"/>
            <w:gridSpan w:val="2"/>
          </w:tcPr>
          <w:p w14:paraId="0745AE21"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978,67</w:t>
            </w:r>
          </w:p>
        </w:tc>
        <w:tc>
          <w:tcPr>
            <w:tcW w:w="1188" w:type="dxa"/>
            <w:gridSpan w:val="2"/>
          </w:tcPr>
          <w:p w14:paraId="1735EAFA"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991,91</w:t>
            </w:r>
          </w:p>
        </w:tc>
        <w:tc>
          <w:tcPr>
            <w:tcW w:w="1187" w:type="dxa"/>
            <w:gridSpan w:val="2"/>
          </w:tcPr>
          <w:p w14:paraId="0A843B23" w14:textId="77777777" w:rsidR="00FD5AB2" w:rsidRPr="006C115D" w:rsidRDefault="00FD5AB2"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0,710</w:t>
            </w:r>
          </w:p>
        </w:tc>
        <w:tc>
          <w:tcPr>
            <w:tcW w:w="1188" w:type="dxa"/>
            <w:gridSpan w:val="2"/>
          </w:tcPr>
          <w:p w14:paraId="0DDD57AE"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1024,67</w:t>
            </w:r>
          </w:p>
        </w:tc>
        <w:tc>
          <w:tcPr>
            <w:tcW w:w="1188" w:type="dxa"/>
            <w:gridSpan w:val="2"/>
          </w:tcPr>
          <w:p w14:paraId="7F7956E5"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981,96</w:t>
            </w:r>
          </w:p>
        </w:tc>
        <w:tc>
          <w:tcPr>
            <w:tcW w:w="1433" w:type="dxa"/>
            <w:gridSpan w:val="3"/>
          </w:tcPr>
          <w:p w14:paraId="6D07813B" w14:textId="77777777" w:rsidR="00FD5AB2" w:rsidRPr="006C115D" w:rsidRDefault="00FD5AB2"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0,280</w:t>
            </w:r>
          </w:p>
        </w:tc>
      </w:tr>
      <w:tr w:rsidR="00A821CE" w14:paraId="1C8DD3A9" w14:textId="77777777" w:rsidTr="00DB7C95">
        <w:tc>
          <w:tcPr>
            <w:cnfStyle w:val="001000000000" w:firstRow="0" w:lastRow="0" w:firstColumn="1" w:lastColumn="0" w:oddVBand="0" w:evenVBand="0" w:oddHBand="0" w:evenHBand="0" w:firstRowFirstColumn="0" w:firstRowLastColumn="0" w:lastRowFirstColumn="0" w:lastRowLastColumn="0"/>
            <w:tcW w:w="1916" w:type="dxa"/>
          </w:tcPr>
          <w:p w14:paraId="110646A9" w14:textId="77777777" w:rsidR="00A821CE" w:rsidRPr="00471EF6" w:rsidRDefault="00A821CE" w:rsidP="00431BC9">
            <w:pPr>
              <w:rPr>
                <w:sz w:val="18"/>
                <w:szCs w:val="18"/>
                <w:lang w:val="en-GB"/>
              </w:rPr>
            </w:pPr>
            <w:r>
              <w:rPr>
                <w:sz w:val="18"/>
                <w:szCs w:val="18"/>
                <w:lang w:val="en-GB"/>
              </w:rPr>
              <w:t>vBMC</w:t>
            </w:r>
          </w:p>
        </w:tc>
        <w:tc>
          <w:tcPr>
            <w:tcW w:w="1188" w:type="dxa"/>
            <w:gridSpan w:val="2"/>
          </w:tcPr>
          <w:p w14:paraId="38D16DE7"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297,09</w:t>
            </w:r>
          </w:p>
        </w:tc>
        <w:tc>
          <w:tcPr>
            <w:tcW w:w="1188" w:type="dxa"/>
            <w:gridSpan w:val="2"/>
          </w:tcPr>
          <w:p w14:paraId="55720CB6"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304,76</w:t>
            </w:r>
          </w:p>
        </w:tc>
        <w:tc>
          <w:tcPr>
            <w:tcW w:w="1187" w:type="dxa"/>
            <w:gridSpan w:val="2"/>
          </w:tcPr>
          <w:p w14:paraId="135E7B23" w14:textId="6EFDB2A0" w:rsidR="00A821CE" w:rsidRPr="006C115D" w:rsidRDefault="00A821CE"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0,013</w:t>
            </w:r>
            <w:r w:rsidR="00880463">
              <w:rPr>
                <w:i/>
                <w:sz w:val="18"/>
                <w:szCs w:val="18"/>
                <w:lang w:val="en-GB"/>
              </w:rPr>
              <w:t>*</w:t>
            </w:r>
          </w:p>
        </w:tc>
        <w:tc>
          <w:tcPr>
            <w:tcW w:w="1188" w:type="dxa"/>
            <w:gridSpan w:val="2"/>
          </w:tcPr>
          <w:p w14:paraId="2AA6991A"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328,56</w:t>
            </w:r>
          </w:p>
        </w:tc>
        <w:tc>
          <w:tcPr>
            <w:tcW w:w="1188" w:type="dxa"/>
            <w:gridSpan w:val="2"/>
          </w:tcPr>
          <w:p w14:paraId="544C3470"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317,43</w:t>
            </w:r>
          </w:p>
        </w:tc>
        <w:tc>
          <w:tcPr>
            <w:tcW w:w="1433" w:type="dxa"/>
            <w:gridSpan w:val="3"/>
          </w:tcPr>
          <w:p w14:paraId="0A849D29" w14:textId="77777777" w:rsidR="00A821CE" w:rsidRPr="006C115D" w:rsidRDefault="00A821CE"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0,507</w:t>
            </w:r>
          </w:p>
        </w:tc>
      </w:tr>
      <w:tr w:rsidR="00A821CE" w14:paraId="0A0C642C" w14:textId="77777777" w:rsidTr="00DB7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Pr>
          <w:p w14:paraId="07FDC2DB" w14:textId="77777777" w:rsidR="00A821CE" w:rsidRPr="00471EF6" w:rsidRDefault="00A821CE" w:rsidP="00431BC9">
            <w:pPr>
              <w:rPr>
                <w:sz w:val="18"/>
                <w:szCs w:val="18"/>
                <w:lang w:val="en-GB"/>
              </w:rPr>
            </w:pPr>
            <w:r>
              <w:rPr>
                <w:sz w:val="18"/>
                <w:szCs w:val="18"/>
                <w:lang w:val="en-GB"/>
              </w:rPr>
              <w:t>vBMD</w:t>
            </w:r>
          </w:p>
        </w:tc>
        <w:tc>
          <w:tcPr>
            <w:tcW w:w="1188" w:type="dxa"/>
            <w:gridSpan w:val="2"/>
          </w:tcPr>
          <w:p w14:paraId="2D28F179" w14:textId="77777777" w:rsidR="00A821CE" w:rsidRPr="00471EF6" w:rsidRDefault="00A821CE"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303,21</w:t>
            </w:r>
          </w:p>
        </w:tc>
        <w:tc>
          <w:tcPr>
            <w:tcW w:w="1188" w:type="dxa"/>
            <w:gridSpan w:val="2"/>
          </w:tcPr>
          <w:p w14:paraId="16C4855A" w14:textId="77777777" w:rsidR="00A821CE" w:rsidRPr="00471EF6" w:rsidRDefault="00A821CE"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307,36</w:t>
            </w:r>
          </w:p>
        </w:tc>
        <w:tc>
          <w:tcPr>
            <w:tcW w:w="1187" w:type="dxa"/>
            <w:gridSpan w:val="2"/>
          </w:tcPr>
          <w:p w14:paraId="0C3C91BC" w14:textId="77777777" w:rsidR="00A821CE" w:rsidRPr="006C115D" w:rsidRDefault="00A821CE"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0,152</w:t>
            </w:r>
          </w:p>
        </w:tc>
        <w:tc>
          <w:tcPr>
            <w:tcW w:w="1188" w:type="dxa"/>
            <w:gridSpan w:val="2"/>
          </w:tcPr>
          <w:p w14:paraId="0AAF8A14" w14:textId="77777777" w:rsidR="00A821CE" w:rsidRPr="00471EF6" w:rsidRDefault="00A821CE"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320,22</w:t>
            </w:r>
          </w:p>
        </w:tc>
        <w:tc>
          <w:tcPr>
            <w:tcW w:w="1188" w:type="dxa"/>
            <w:gridSpan w:val="2"/>
          </w:tcPr>
          <w:p w14:paraId="0B50DE43" w14:textId="77777777" w:rsidR="00A821CE" w:rsidRPr="00471EF6" w:rsidRDefault="00A821CE"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324,29</w:t>
            </w:r>
          </w:p>
        </w:tc>
        <w:tc>
          <w:tcPr>
            <w:tcW w:w="1433" w:type="dxa"/>
            <w:gridSpan w:val="3"/>
          </w:tcPr>
          <w:p w14:paraId="386B5E46" w14:textId="77777777" w:rsidR="00A821CE" w:rsidRPr="006C115D" w:rsidRDefault="00A821CE"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0,555</w:t>
            </w:r>
          </w:p>
        </w:tc>
      </w:tr>
      <w:tr w:rsidR="00A821CE" w14:paraId="4837A002" w14:textId="77777777" w:rsidTr="00DB7C95">
        <w:tc>
          <w:tcPr>
            <w:cnfStyle w:val="001000000000" w:firstRow="0" w:lastRow="0" w:firstColumn="1" w:lastColumn="0" w:oddVBand="0" w:evenVBand="0" w:oddHBand="0" w:evenHBand="0" w:firstRowFirstColumn="0" w:firstRowLastColumn="0" w:lastRowFirstColumn="0" w:lastRowLastColumn="0"/>
            <w:tcW w:w="1916" w:type="dxa"/>
          </w:tcPr>
          <w:p w14:paraId="186B9D11" w14:textId="710A890F" w:rsidR="00A821CE" w:rsidRPr="00D600B6" w:rsidRDefault="00E04B7C" w:rsidP="00E04B7C">
            <w:pPr>
              <w:rPr>
                <w:sz w:val="18"/>
                <w:szCs w:val="18"/>
                <w:lang w:val="en-GB"/>
              </w:rPr>
            </w:pPr>
            <w:r>
              <w:rPr>
                <w:sz w:val="18"/>
                <w:szCs w:val="18"/>
                <w:lang w:val="en-GB"/>
              </w:rPr>
              <w:t xml:space="preserve">Z-scores: </w:t>
            </w:r>
            <w:r w:rsidR="00A821CE">
              <w:rPr>
                <w:sz w:val="18"/>
                <w:szCs w:val="18"/>
                <w:lang w:val="en-GB"/>
              </w:rPr>
              <w:t>vBMD</w:t>
            </w:r>
            <w:r w:rsidR="00A821CE" w:rsidRPr="00D600B6">
              <w:rPr>
                <w:sz w:val="18"/>
                <w:szCs w:val="18"/>
                <w:lang w:val="en-GB"/>
              </w:rPr>
              <w:t xml:space="preserve"> </w:t>
            </w:r>
          </w:p>
        </w:tc>
        <w:tc>
          <w:tcPr>
            <w:tcW w:w="1188" w:type="dxa"/>
            <w:gridSpan w:val="2"/>
          </w:tcPr>
          <w:p w14:paraId="737547AD" w14:textId="77777777" w:rsidR="00A821CE"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-0,970</w:t>
            </w:r>
          </w:p>
        </w:tc>
        <w:tc>
          <w:tcPr>
            <w:tcW w:w="1188" w:type="dxa"/>
            <w:gridSpan w:val="2"/>
          </w:tcPr>
          <w:p w14:paraId="754BA205" w14:textId="77777777" w:rsidR="00A821CE"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-0,920</w:t>
            </w:r>
          </w:p>
        </w:tc>
        <w:tc>
          <w:tcPr>
            <w:tcW w:w="1187" w:type="dxa"/>
            <w:gridSpan w:val="2"/>
          </w:tcPr>
          <w:p w14:paraId="7193827D" w14:textId="71097F97" w:rsidR="00A821CE" w:rsidRDefault="00A821CE"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&lt;0,001</w:t>
            </w:r>
            <w:r w:rsidR="00880463">
              <w:rPr>
                <w:i/>
                <w:sz w:val="18"/>
                <w:szCs w:val="18"/>
                <w:lang w:val="en-GB"/>
              </w:rPr>
              <w:t>*</w:t>
            </w:r>
          </w:p>
        </w:tc>
        <w:tc>
          <w:tcPr>
            <w:tcW w:w="1188" w:type="dxa"/>
            <w:gridSpan w:val="2"/>
          </w:tcPr>
          <w:p w14:paraId="4301EC2C" w14:textId="77777777" w:rsidR="00A821CE"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-0,605</w:t>
            </w:r>
          </w:p>
        </w:tc>
        <w:tc>
          <w:tcPr>
            <w:tcW w:w="1188" w:type="dxa"/>
            <w:gridSpan w:val="2"/>
          </w:tcPr>
          <w:p w14:paraId="3BCE2A14" w14:textId="77777777" w:rsidR="00A821CE"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-0,571</w:t>
            </w:r>
          </w:p>
        </w:tc>
        <w:tc>
          <w:tcPr>
            <w:tcW w:w="1433" w:type="dxa"/>
            <w:gridSpan w:val="3"/>
          </w:tcPr>
          <w:p w14:paraId="6F310FCA" w14:textId="6BD4BABB" w:rsidR="00A821CE" w:rsidRDefault="00A821CE"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0,003</w:t>
            </w:r>
            <w:r w:rsidR="00880463">
              <w:rPr>
                <w:i/>
                <w:sz w:val="18"/>
                <w:szCs w:val="18"/>
                <w:lang w:val="en-GB"/>
              </w:rPr>
              <w:t>*</w:t>
            </w:r>
          </w:p>
        </w:tc>
      </w:tr>
      <w:tr w:rsidR="00FD5AB2" w14:paraId="08906C62" w14:textId="77777777" w:rsidTr="00DB7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14"/>
          </w:tcPr>
          <w:p w14:paraId="19024EA9" w14:textId="77777777" w:rsidR="00FD5AB2" w:rsidRDefault="00FD5AB2" w:rsidP="000146E7">
            <w:pPr>
              <w:jc w:val="center"/>
              <w:rPr>
                <w:i/>
                <w:sz w:val="18"/>
                <w:szCs w:val="18"/>
                <w:lang w:val="en-GB"/>
              </w:rPr>
            </w:pPr>
            <w:r>
              <w:rPr>
                <w:i/>
                <w:sz w:val="18"/>
                <w:szCs w:val="18"/>
                <w:lang w:val="en-GB"/>
              </w:rPr>
              <w:t>Trabecular</w:t>
            </w:r>
          </w:p>
        </w:tc>
      </w:tr>
      <w:tr w:rsidR="0014195C" w:rsidRPr="007E1F7D" w14:paraId="53B21F50" w14:textId="77777777" w:rsidTr="00DB7C95">
        <w:tc>
          <w:tcPr>
            <w:cnfStyle w:val="001000000000" w:firstRow="0" w:lastRow="0" w:firstColumn="1" w:lastColumn="0" w:oddVBand="0" w:evenVBand="0" w:oddHBand="0" w:evenHBand="0" w:firstRowFirstColumn="0" w:firstRowLastColumn="0" w:lastRowFirstColumn="0" w:lastRowLastColumn="0"/>
            <w:tcW w:w="1916" w:type="dxa"/>
          </w:tcPr>
          <w:p w14:paraId="297BEE92" w14:textId="77777777" w:rsidR="0014195C" w:rsidRPr="007E1F7D" w:rsidRDefault="0014195C" w:rsidP="003C1CD5">
            <w:pPr>
              <w:rPr>
                <w:b w:val="0"/>
                <w:sz w:val="18"/>
                <w:szCs w:val="18"/>
                <w:lang w:val="en-GB"/>
              </w:rPr>
            </w:pPr>
            <w:r>
              <w:rPr>
                <w:b w:val="0"/>
                <w:sz w:val="18"/>
                <w:szCs w:val="18"/>
                <w:lang w:val="en-GB"/>
              </w:rPr>
              <w:t>Location</w:t>
            </w:r>
          </w:p>
        </w:tc>
        <w:tc>
          <w:tcPr>
            <w:tcW w:w="1188" w:type="dxa"/>
            <w:gridSpan w:val="2"/>
          </w:tcPr>
          <w:p w14:paraId="127C1E60"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 L</w:t>
            </w:r>
            <w:r w:rsidRPr="007E1F7D">
              <w:rPr>
                <w:b/>
                <w:sz w:val="18"/>
                <w:szCs w:val="18"/>
                <w:lang w:val="en-GB"/>
              </w:rPr>
              <w:t xml:space="preserve"> </w:t>
            </w:r>
          </w:p>
        </w:tc>
        <w:tc>
          <w:tcPr>
            <w:tcW w:w="1188" w:type="dxa"/>
            <w:gridSpan w:val="2"/>
          </w:tcPr>
          <w:p w14:paraId="3EA5F95B"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 xml:space="preserve">before </w:t>
            </w:r>
            <w:r w:rsidRPr="007E1F7D">
              <w:rPr>
                <w:b/>
                <w:sz w:val="18"/>
                <w:szCs w:val="18"/>
                <w:lang w:val="en-GB"/>
              </w:rPr>
              <w:t>C</w:t>
            </w:r>
            <w:r>
              <w:rPr>
                <w:b/>
                <w:sz w:val="18"/>
                <w:szCs w:val="18"/>
                <w:lang w:val="en-GB"/>
              </w:rPr>
              <w:t>SH</w:t>
            </w:r>
            <w:r w:rsidRPr="007E1F7D">
              <w:rPr>
                <w:b/>
                <w:sz w:val="18"/>
                <w:szCs w:val="18"/>
                <w:lang w:val="en-GB"/>
              </w:rPr>
              <w:t xml:space="preserve"> </w:t>
            </w:r>
          </w:p>
        </w:tc>
        <w:tc>
          <w:tcPr>
            <w:tcW w:w="1187" w:type="dxa"/>
            <w:gridSpan w:val="2"/>
          </w:tcPr>
          <w:p w14:paraId="005BDF8B"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P (L)</w:t>
            </w:r>
          </w:p>
        </w:tc>
        <w:tc>
          <w:tcPr>
            <w:tcW w:w="1188" w:type="dxa"/>
            <w:gridSpan w:val="2"/>
          </w:tcPr>
          <w:p w14:paraId="5F9B95E9"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w:t>
            </w:r>
            <w:r w:rsidRPr="007E1F7D">
              <w:rPr>
                <w:b/>
                <w:sz w:val="18"/>
                <w:szCs w:val="18"/>
                <w:lang w:val="en-GB"/>
              </w:rPr>
              <w:t xml:space="preserve"> CA</w:t>
            </w:r>
          </w:p>
        </w:tc>
        <w:tc>
          <w:tcPr>
            <w:tcW w:w="1188" w:type="dxa"/>
            <w:gridSpan w:val="2"/>
          </w:tcPr>
          <w:p w14:paraId="6ED2F13F"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 CSH</w:t>
            </w:r>
          </w:p>
        </w:tc>
        <w:tc>
          <w:tcPr>
            <w:tcW w:w="1433" w:type="dxa"/>
            <w:gridSpan w:val="3"/>
          </w:tcPr>
          <w:p w14:paraId="2D7DF1CD"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P (CA)</w:t>
            </w:r>
          </w:p>
        </w:tc>
      </w:tr>
      <w:tr w:rsidR="00FD5AB2" w14:paraId="1528502F" w14:textId="77777777" w:rsidTr="00DB7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Pr>
          <w:p w14:paraId="6BC782AE" w14:textId="77777777" w:rsidR="00FD5AB2" w:rsidRPr="00586B02" w:rsidRDefault="00FD5AB2" w:rsidP="000146E7">
            <w:pPr>
              <w:rPr>
                <w:sz w:val="18"/>
                <w:szCs w:val="18"/>
                <w:lang w:val="en-GB"/>
              </w:rPr>
            </w:pPr>
            <w:r>
              <w:rPr>
                <w:sz w:val="18"/>
                <w:szCs w:val="18"/>
                <w:lang w:val="en-GB"/>
              </w:rPr>
              <w:t>Area</w:t>
            </w:r>
          </w:p>
        </w:tc>
        <w:tc>
          <w:tcPr>
            <w:tcW w:w="1188" w:type="dxa"/>
            <w:gridSpan w:val="2"/>
          </w:tcPr>
          <w:p w14:paraId="5FED38E2"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444,33</w:t>
            </w:r>
          </w:p>
        </w:tc>
        <w:tc>
          <w:tcPr>
            <w:tcW w:w="1188" w:type="dxa"/>
            <w:gridSpan w:val="2"/>
          </w:tcPr>
          <w:p w14:paraId="2AAC10B1"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449,78</w:t>
            </w:r>
          </w:p>
        </w:tc>
        <w:tc>
          <w:tcPr>
            <w:tcW w:w="1187" w:type="dxa"/>
            <w:gridSpan w:val="2"/>
          </w:tcPr>
          <w:p w14:paraId="260920EE" w14:textId="77777777" w:rsidR="00FD5AB2" w:rsidRPr="006C115D" w:rsidRDefault="00FD5AB2"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0,619</w:t>
            </w:r>
          </w:p>
        </w:tc>
        <w:tc>
          <w:tcPr>
            <w:tcW w:w="1188" w:type="dxa"/>
            <w:gridSpan w:val="2"/>
          </w:tcPr>
          <w:p w14:paraId="47412101"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460,98</w:t>
            </w:r>
          </w:p>
        </w:tc>
        <w:tc>
          <w:tcPr>
            <w:tcW w:w="1188" w:type="dxa"/>
            <w:gridSpan w:val="2"/>
          </w:tcPr>
          <w:p w14:paraId="289BF556"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441,79</w:t>
            </w:r>
          </w:p>
        </w:tc>
        <w:tc>
          <w:tcPr>
            <w:tcW w:w="1433" w:type="dxa"/>
            <w:gridSpan w:val="3"/>
          </w:tcPr>
          <w:p w14:paraId="021FB325" w14:textId="77777777" w:rsidR="00FD5AB2" w:rsidRPr="006C115D" w:rsidRDefault="00FD5AB2"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0,281</w:t>
            </w:r>
          </w:p>
        </w:tc>
      </w:tr>
      <w:tr w:rsidR="00A821CE" w14:paraId="1EAC4ED0" w14:textId="77777777" w:rsidTr="00DB7C95">
        <w:tc>
          <w:tcPr>
            <w:cnfStyle w:val="001000000000" w:firstRow="0" w:lastRow="0" w:firstColumn="1" w:lastColumn="0" w:oddVBand="0" w:evenVBand="0" w:oddHBand="0" w:evenHBand="0" w:firstRowFirstColumn="0" w:firstRowLastColumn="0" w:lastRowFirstColumn="0" w:lastRowLastColumn="0"/>
            <w:tcW w:w="1916" w:type="dxa"/>
          </w:tcPr>
          <w:p w14:paraId="4698E854" w14:textId="77777777" w:rsidR="00A821CE" w:rsidRPr="00471EF6" w:rsidRDefault="00A821CE" w:rsidP="00431BC9">
            <w:pPr>
              <w:rPr>
                <w:sz w:val="18"/>
                <w:szCs w:val="18"/>
                <w:lang w:val="en-GB"/>
              </w:rPr>
            </w:pPr>
            <w:r>
              <w:rPr>
                <w:sz w:val="18"/>
                <w:szCs w:val="18"/>
                <w:lang w:val="en-GB"/>
              </w:rPr>
              <w:t>vBMC</w:t>
            </w:r>
          </w:p>
        </w:tc>
        <w:tc>
          <w:tcPr>
            <w:tcW w:w="1188" w:type="dxa"/>
            <w:gridSpan w:val="2"/>
          </w:tcPr>
          <w:p w14:paraId="7315B368"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98,07</w:t>
            </w:r>
          </w:p>
        </w:tc>
        <w:tc>
          <w:tcPr>
            <w:tcW w:w="1188" w:type="dxa"/>
            <w:gridSpan w:val="2"/>
          </w:tcPr>
          <w:p w14:paraId="22909545"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101,76</w:t>
            </w:r>
          </w:p>
        </w:tc>
        <w:tc>
          <w:tcPr>
            <w:tcW w:w="1187" w:type="dxa"/>
            <w:gridSpan w:val="2"/>
          </w:tcPr>
          <w:p w14:paraId="1FBB2E8B" w14:textId="77777777" w:rsidR="00A821CE" w:rsidRPr="006C115D" w:rsidRDefault="00A821CE"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0,063</w:t>
            </w:r>
          </w:p>
        </w:tc>
        <w:tc>
          <w:tcPr>
            <w:tcW w:w="1188" w:type="dxa"/>
            <w:gridSpan w:val="2"/>
          </w:tcPr>
          <w:p w14:paraId="6AF53FFE"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114,20</w:t>
            </w:r>
          </w:p>
        </w:tc>
        <w:tc>
          <w:tcPr>
            <w:tcW w:w="1188" w:type="dxa"/>
            <w:gridSpan w:val="2"/>
          </w:tcPr>
          <w:p w14:paraId="5DA4E7A3"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104,29</w:t>
            </w:r>
          </w:p>
        </w:tc>
        <w:tc>
          <w:tcPr>
            <w:tcW w:w="1433" w:type="dxa"/>
            <w:gridSpan w:val="3"/>
          </w:tcPr>
          <w:p w14:paraId="1A573581" w14:textId="77777777" w:rsidR="00A821CE" w:rsidRPr="006C115D" w:rsidRDefault="00A821CE"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0,861</w:t>
            </w:r>
          </w:p>
        </w:tc>
      </w:tr>
      <w:tr w:rsidR="00A821CE" w14:paraId="4C7315C2" w14:textId="77777777" w:rsidTr="00DB7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Pr>
          <w:p w14:paraId="535836D6" w14:textId="77777777" w:rsidR="00A821CE" w:rsidRPr="00471EF6" w:rsidRDefault="00A821CE" w:rsidP="00431BC9">
            <w:pPr>
              <w:rPr>
                <w:sz w:val="18"/>
                <w:szCs w:val="18"/>
                <w:lang w:val="en-GB"/>
              </w:rPr>
            </w:pPr>
            <w:r>
              <w:rPr>
                <w:sz w:val="18"/>
                <w:szCs w:val="18"/>
                <w:lang w:val="en-GB"/>
              </w:rPr>
              <w:t>vBMD</w:t>
            </w:r>
          </w:p>
        </w:tc>
        <w:tc>
          <w:tcPr>
            <w:tcW w:w="1188" w:type="dxa"/>
            <w:gridSpan w:val="2"/>
          </w:tcPr>
          <w:p w14:paraId="7A3C8F33" w14:textId="77777777" w:rsidR="00A821CE" w:rsidRPr="00471EF6" w:rsidRDefault="00A821CE"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219,91</w:t>
            </w:r>
          </w:p>
        </w:tc>
        <w:tc>
          <w:tcPr>
            <w:tcW w:w="1188" w:type="dxa"/>
            <w:gridSpan w:val="2"/>
          </w:tcPr>
          <w:p w14:paraId="004E811B" w14:textId="77777777" w:rsidR="00A821CE" w:rsidRPr="00471EF6" w:rsidRDefault="00A821CE"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225,86</w:t>
            </w:r>
          </w:p>
        </w:tc>
        <w:tc>
          <w:tcPr>
            <w:tcW w:w="1187" w:type="dxa"/>
            <w:gridSpan w:val="2"/>
          </w:tcPr>
          <w:p w14:paraId="5EBB99BC" w14:textId="6932B1BF" w:rsidR="00A821CE" w:rsidRPr="006C115D" w:rsidRDefault="00A821CE"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0,003</w:t>
            </w:r>
            <w:r w:rsidR="00880463">
              <w:rPr>
                <w:i/>
                <w:sz w:val="18"/>
                <w:szCs w:val="18"/>
                <w:lang w:val="en-GB"/>
              </w:rPr>
              <w:t>*</w:t>
            </w:r>
          </w:p>
        </w:tc>
        <w:tc>
          <w:tcPr>
            <w:tcW w:w="1188" w:type="dxa"/>
            <w:gridSpan w:val="2"/>
          </w:tcPr>
          <w:p w14:paraId="5E05B297" w14:textId="77777777" w:rsidR="00A821CE" w:rsidRPr="00471EF6" w:rsidRDefault="00A821CE"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243,29</w:t>
            </w:r>
          </w:p>
        </w:tc>
        <w:tc>
          <w:tcPr>
            <w:tcW w:w="1188" w:type="dxa"/>
            <w:gridSpan w:val="2"/>
          </w:tcPr>
          <w:p w14:paraId="1BA1254C" w14:textId="77777777" w:rsidR="00A821CE" w:rsidRPr="00471EF6" w:rsidRDefault="00A821CE"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235,33</w:t>
            </w:r>
          </w:p>
        </w:tc>
        <w:tc>
          <w:tcPr>
            <w:tcW w:w="1433" w:type="dxa"/>
            <w:gridSpan w:val="3"/>
          </w:tcPr>
          <w:p w14:paraId="1020914E" w14:textId="77777777" w:rsidR="00A821CE" w:rsidRPr="006C115D" w:rsidRDefault="00A821CE"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0,561</w:t>
            </w:r>
          </w:p>
        </w:tc>
      </w:tr>
      <w:tr w:rsidR="00A821CE" w14:paraId="314158CD" w14:textId="77777777" w:rsidTr="00DB7C95">
        <w:tc>
          <w:tcPr>
            <w:cnfStyle w:val="001000000000" w:firstRow="0" w:lastRow="0" w:firstColumn="1" w:lastColumn="0" w:oddVBand="0" w:evenVBand="0" w:oddHBand="0" w:evenHBand="0" w:firstRowFirstColumn="0" w:firstRowLastColumn="0" w:lastRowFirstColumn="0" w:lastRowLastColumn="0"/>
            <w:tcW w:w="1916" w:type="dxa"/>
          </w:tcPr>
          <w:p w14:paraId="761684B2" w14:textId="41A4A793" w:rsidR="00A821CE" w:rsidRPr="00D600B6" w:rsidRDefault="00E04B7C" w:rsidP="00E04B7C">
            <w:pPr>
              <w:rPr>
                <w:sz w:val="18"/>
                <w:szCs w:val="18"/>
                <w:lang w:val="en-GB"/>
              </w:rPr>
            </w:pPr>
            <w:r>
              <w:rPr>
                <w:sz w:val="18"/>
                <w:szCs w:val="18"/>
                <w:lang w:val="en-GB"/>
              </w:rPr>
              <w:t xml:space="preserve">Z-scores: </w:t>
            </w:r>
            <w:r w:rsidR="00A821CE">
              <w:rPr>
                <w:sz w:val="18"/>
                <w:szCs w:val="18"/>
                <w:lang w:val="en-GB"/>
              </w:rPr>
              <w:t>vBMD</w:t>
            </w:r>
          </w:p>
        </w:tc>
        <w:tc>
          <w:tcPr>
            <w:tcW w:w="1188" w:type="dxa"/>
            <w:gridSpan w:val="2"/>
          </w:tcPr>
          <w:p w14:paraId="58ED9CF8" w14:textId="77777777" w:rsidR="00A821CE"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-0,078</w:t>
            </w:r>
          </w:p>
        </w:tc>
        <w:tc>
          <w:tcPr>
            <w:tcW w:w="1188" w:type="dxa"/>
            <w:gridSpan w:val="2"/>
          </w:tcPr>
          <w:p w14:paraId="2EABBD1F" w14:textId="77777777" w:rsidR="00A821CE"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-0,008</w:t>
            </w:r>
          </w:p>
        </w:tc>
        <w:tc>
          <w:tcPr>
            <w:tcW w:w="1187" w:type="dxa"/>
            <w:gridSpan w:val="2"/>
          </w:tcPr>
          <w:p w14:paraId="0D831EBD" w14:textId="77777777" w:rsidR="00A821CE" w:rsidRDefault="00A821CE"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0,198</w:t>
            </w:r>
          </w:p>
        </w:tc>
        <w:tc>
          <w:tcPr>
            <w:tcW w:w="1188" w:type="dxa"/>
            <w:gridSpan w:val="2"/>
          </w:tcPr>
          <w:p w14:paraId="7A3EEF48" w14:textId="77777777" w:rsidR="00A821CE"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0,065</w:t>
            </w:r>
          </w:p>
        </w:tc>
        <w:tc>
          <w:tcPr>
            <w:tcW w:w="1188" w:type="dxa"/>
            <w:gridSpan w:val="2"/>
          </w:tcPr>
          <w:p w14:paraId="5B6E86F4" w14:textId="77777777" w:rsidR="00A821CE"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-0,377</w:t>
            </w:r>
          </w:p>
        </w:tc>
        <w:tc>
          <w:tcPr>
            <w:tcW w:w="1433" w:type="dxa"/>
            <w:gridSpan w:val="3"/>
          </w:tcPr>
          <w:p w14:paraId="3A3C2AC3" w14:textId="77777777" w:rsidR="00A821CE" w:rsidRDefault="00A821CE"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0,267</w:t>
            </w:r>
          </w:p>
        </w:tc>
      </w:tr>
      <w:tr w:rsidR="00FD5AB2" w:rsidRPr="002F56B3" w14:paraId="2B524DE7" w14:textId="77777777" w:rsidTr="00DB7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14"/>
            <w:shd w:val="clear" w:color="auto" w:fill="D9D9D9" w:themeFill="background1" w:themeFillShade="D9"/>
          </w:tcPr>
          <w:p w14:paraId="3B439906" w14:textId="77777777" w:rsidR="00FD5AB2" w:rsidRPr="002F56B3" w:rsidRDefault="00FD5AB2" w:rsidP="000146E7">
            <w:pPr>
              <w:jc w:val="center"/>
              <w:rPr>
                <w:b w:val="0"/>
                <w:sz w:val="18"/>
                <w:szCs w:val="18"/>
                <w:lang w:val="en-GB"/>
              </w:rPr>
            </w:pPr>
            <w:r>
              <w:rPr>
                <w:sz w:val="18"/>
                <w:szCs w:val="18"/>
                <w:lang w:val="en-GB"/>
              </w:rPr>
              <w:t>Bone - Radius 66%</w:t>
            </w:r>
          </w:p>
        </w:tc>
      </w:tr>
      <w:tr w:rsidR="00FD5AB2" w14:paraId="3DD7B330" w14:textId="77777777" w:rsidTr="00DB7C95">
        <w:tc>
          <w:tcPr>
            <w:cnfStyle w:val="001000000000" w:firstRow="0" w:lastRow="0" w:firstColumn="1" w:lastColumn="0" w:oddVBand="0" w:evenVBand="0" w:oddHBand="0" w:evenHBand="0" w:firstRowFirstColumn="0" w:firstRowLastColumn="0" w:lastRowFirstColumn="0" w:lastRowLastColumn="0"/>
            <w:tcW w:w="9288" w:type="dxa"/>
            <w:gridSpan w:val="14"/>
          </w:tcPr>
          <w:p w14:paraId="0F835EC7" w14:textId="77777777" w:rsidR="00FD5AB2" w:rsidRDefault="00FD5AB2" w:rsidP="000146E7">
            <w:pPr>
              <w:jc w:val="center"/>
              <w:rPr>
                <w:i/>
                <w:sz w:val="18"/>
                <w:szCs w:val="18"/>
                <w:lang w:val="en-GB"/>
              </w:rPr>
            </w:pPr>
            <w:r>
              <w:rPr>
                <w:i/>
                <w:sz w:val="18"/>
                <w:szCs w:val="18"/>
                <w:lang w:val="en-GB"/>
              </w:rPr>
              <w:t>Total</w:t>
            </w:r>
          </w:p>
        </w:tc>
      </w:tr>
      <w:tr w:rsidR="0014195C" w:rsidRPr="007E1F7D" w14:paraId="7A9D3185" w14:textId="77777777" w:rsidTr="00DB7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Pr>
          <w:p w14:paraId="01D9F6A9" w14:textId="77777777" w:rsidR="0014195C" w:rsidRPr="007E1F7D" w:rsidRDefault="0014195C" w:rsidP="003C1CD5">
            <w:pPr>
              <w:rPr>
                <w:b w:val="0"/>
                <w:sz w:val="18"/>
                <w:szCs w:val="18"/>
                <w:lang w:val="en-GB"/>
              </w:rPr>
            </w:pPr>
            <w:r>
              <w:rPr>
                <w:b w:val="0"/>
                <w:sz w:val="18"/>
                <w:szCs w:val="18"/>
                <w:lang w:val="en-GB"/>
              </w:rPr>
              <w:t>Location</w:t>
            </w:r>
          </w:p>
        </w:tc>
        <w:tc>
          <w:tcPr>
            <w:tcW w:w="1188" w:type="dxa"/>
            <w:gridSpan w:val="2"/>
          </w:tcPr>
          <w:p w14:paraId="21D853CA"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 L</w:t>
            </w:r>
            <w:r w:rsidRPr="007E1F7D">
              <w:rPr>
                <w:b/>
                <w:sz w:val="18"/>
                <w:szCs w:val="18"/>
                <w:lang w:val="en-GB"/>
              </w:rPr>
              <w:t xml:space="preserve"> </w:t>
            </w:r>
          </w:p>
        </w:tc>
        <w:tc>
          <w:tcPr>
            <w:tcW w:w="1188" w:type="dxa"/>
            <w:gridSpan w:val="2"/>
          </w:tcPr>
          <w:p w14:paraId="03132E2D"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 xml:space="preserve">before </w:t>
            </w:r>
            <w:r w:rsidRPr="007E1F7D">
              <w:rPr>
                <w:b/>
                <w:sz w:val="18"/>
                <w:szCs w:val="18"/>
                <w:lang w:val="en-GB"/>
              </w:rPr>
              <w:t>C</w:t>
            </w:r>
            <w:r>
              <w:rPr>
                <w:b/>
                <w:sz w:val="18"/>
                <w:szCs w:val="18"/>
                <w:lang w:val="en-GB"/>
              </w:rPr>
              <w:t>SH</w:t>
            </w:r>
            <w:r w:rsidRPr="007E1F7D">
              <w:rPr>
                <w:b/>
                <w:sz w:val="18"/>
                <w:szCs w:val="18"/>
                <w:lang w:val="en-GB"/>
              </w:rPr>
              <w:t xml:space="preserve"> </w:t>
            </w:r>
          </w:p>
        </w:tc>
        <w:tc>
          <w:tcPr>
            <w:tcW w:w="1187" w:type="dxa"/>
            <w:gridSpan w:val="2"/>
          </w:tcPr>
          <w:p w14:paraId="11DF2AE6"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P (L)</w:t>
            </w:r>
          </w:p>
        </w:tc>
        <w:tc>
          <w:tcPr>
            <w:tcW w:w="1188" w:type="dxa"/>
            <w:gridSpan w:val="2"/>
          </w:tcPr>
          <w:p w14:paraId="397D7606"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w:t>
            </w:r>
            <w:r w:rsidRPr="007E1F7D">
              <w:rPr>
                <w:b/>
                <w:sz w:val="18"/>
                <w:szCs w:val="18"/>
                <w:lang w:val="en-GB"/>
              </w:rPr>
              <w:t xml:space="preserve"> CA</w:t>
            </w:r>
          </w:p>
        </w:tc>
        <w:tc>
          <w:tcPr>
            <w:tcW w:w="1188" w:type="dxa"/>
            <w:gridSpan w:val="2"/>
          </w:tcPr>
          <w:p w14:paraId="1D25A510"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 CSH</w:t>
            </w:r>
          </w:p>
        </w:tc>
        <w:tc>
          <w:tcPr>
            <w:tcW w:w="1433" w:type="dxa"/>
            <w:gridSpan w:val="3"/>
          </w:tcPr>
          <w:p w14:paraId="483A2B55"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P (CA)</w:t>
            </w:r>
          </w:p>
        </w:tc>
      </w:tr>
      <w:tr w:rsidR="00FD5AB2" w14:paraId="09A5CAC6" w14:textId="77777777" w:rsidTr="00DB7C95">
        <w:tc>
          <w:tcPr>
            <w:cnfStyle w:val="001000000000" w:firstRow="0" w:lastRow="0" w:firstColumn="1" w:lastColumn="0" w:oddVBand="0" w:evenVBand="0" w:oddHBand="0" w:evenHBand="0" w:firstRowFirstColumn="0" w:firstRowLastColumn="0" w:lastRowFirstColumn="0" w:lastRowLastColumn="0"/>
            <w:tcW w:w="1916" w:type="dxa"/>
          </w:tcPr>
          <w:p w14:paraId="5EA13F15" w14:textId="77777777" w:rsidR="00FD5AB2" w:rsidRPr="001A5041" w:rsidRDefault="00FD5AB2" w:rsidP="000146E7">
            <w:pPr>
              <w:rPr>
                <w:sz w:val="18"/>
                <w:szCs w:val="18"/>
                <w:lang w:val="en-GB"/>
              </w:rPr>
            </w:pPr>
            <w:r>
              <w:rPr>
                <w:sz w:val="18"/>
                <w:szCs w:val="18"/>
                <w:lang w:val="en-GB"/>
              </w:rPr>
              <w:t>A</w:t>
            </w:r>
            <w:r w:rsidRPr="001A5041">
              <w:rPr>
                <w:sz w:val="18"/>
                <w:szCs w:val="18"/>
                <w:lang w:val="en-GB"/>
              </w:rPr>
              <w:t>rea</w:t>
            </w:r>
          </w:p>
        </w:tc>
        <w:tc>
          <w:tcPr>
            <w:tcW w:w="1188" w:type="dxa"/>
            <w:gridSpan w:val="2"/>
          </w:tcPr>
          <w:p w14:paraId="6AFDE8FC" w14:textId="77777777" w:rsidR="00FD5AB2" w:rsidRPr="00471EF6" w:rsidRDefault="00FD5AB2"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142,85</w:t>
            </w:r>
          </w:p>
        </w:tc>
        <w:tc>
          <w:tcPr>
            <w:tcW w:w="1188" w:type="dxa"/>
            <w:gridSpan w:val="2"/>
          </w:tcPr>
          <w:p w14:paraId="29DFFC04" w14:textId="77777777" w:rsidR="00FD5AB2" w:rsidRPr="00471EF6" w:rsidRDefault="00FD5AB2"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141,77</w:t>
            </w:r>
          </w:p>
        </w:tc>
        <w:tc>
          <w:tcPr>
            <w:tcW w:w="1187" w:type="dxa"/>
            <w:gridSpan w:val="2"/>
          </w:tcPr>
          <w:p w14:paraId="10D3F1A9" w14:textId="77777777" w:rsidR="00FD5AB2" w:rsidRPr="006C115D" w:rsidRDefault="00FD5AB2"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0,943</w:t>
            </w:r>
          </w:p>
        </w:tc>
        <w:tc>
          <w:tcPr>
            <w:tcW w:w="1188" w:type="dxa"/>
            <w:gridSpan w:val="2"/>
          </w:tcPr>
          <w:p w14:paraId="2DEA8975" w14:textId="77777777" w:rsidR="00FD5AB2" w:rsidRPr="00471EF6" w:rsidRDefault="00FD5AB2"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178,20</w:t>
            </w:r>
          </w:p>
        </w:tc>
        <w:tc>
          <w:tcPr>
            <w:tcW w:w="1188" w:type="dxa"/>
            <w:gridSpan w:val="2"/>
          </w:tcPr>
          <w:p w14:paraId="19A815AA" w14:textId="77777777" w:rsidR="00FD5AB2" w:rsidRPr="00471EF6" w:rsidRDefault="00FD5AB2"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156,86</w:t>
            </w:r>
          </w:p>
        </w:tc>
        <w:tc>
          <w:tcPr>
            <w:tcW w:w="1433" w:type="dxa"/>
            <w:gridSpan w:val="3"/>
          </w:tcPr>
          <w:p w14:paraId="6053CB29" w14:textId="77777777" w:rsidR="00FD5AB2" w:rsidRPr="006C115D" w:rsidRDefault="00FD5AB2"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0,551</w:t>
            </w:r>
          </w:p>
        </w:tc>
      </w:tr>
      <w:tr w:rsidR="00FD5AB2" w14:paraId="316BE76C" w14:textId="77777777" w:rsidTr="00DB7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Pr>
          <w:p w14:paraId="3860D078" w14:textId="77777777" w:rsidR="00FD5AB2" w:rsidRPr="001A5041" w:rsidRDefault="00A821CE" w:rsidP="000146E7">
            <w:pPr>
              <w:rPr>
                <w:sz w:val="18"/>
                <w:szCs w:val="18"/>
                <w:lang w:val="en-GB"/>
              </w:rPr>
            </w:pPr>
            <w:r>
              <w:rPr>
                <w:sz w:val="18"/>
                <w:szCs w:val="18"/>
                <w:lang w:val="en-GB"/>
              </w:rPr>
              <w:t>vBMC</w:t>
            </w:r>
          </w:p>
        </w:tc>
        <w:tc>
          <w:tcPr>
            <w:tcW w:w="1188" w:type="dxa"/>
            <w:gridSpan w:val="2"/>
          </w:tcPr>
          <w:p w14:paraId="752A4A75"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97,78</w:t>
            </w:r>
          </w:p>
        </w:tc>
        <w:tc>
          <w:tcPr>
            <w:tcW w:w="1188" w:type="dxa"/>
            <w:gridSpan w:val="2"/>
          </w:tcPr>
          <w:p w14:paraId="7277538D"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98,32</w:t>
            </w:r>
          </w:p>
        </w:tc>
        <w:tc>
          <w:tcPr>
            <w:tcW w:w="1187" w:type="dxa"/>
            <w:gridSpan w:val="2"/>
          </w:tcPr>
          <w:p w14:paraId="66CD3B89" w14:textId="77777777" w:rsidR="00FD5AB2" w:rsidRPr="006C115D" w:rsidRDefault="00FD5AB2"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0,399</w:t>
            </w:r>
          </w:p>
        </w:tc>
        <w:tc>
          <w:tcPr>
            <w:tcW w:w="1188" w:type="dxa"/>
            <w:gridSpan w:val="2"/>
          </w:tcPr>
          <w:p w14:paraId="6A71E596"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106,92</w:t>
            </w:r>
          </w:p>
        </w:tc>
        <w:tc>
          <w:tcPr>
            <w:tcW w:w="1188" w:type="dxa"/>
            <w:gridSpan w:val="2"/>
          </w:tcPr>
          <w:p w14:paraId="2E819E22"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109,04</w:t>
            </w:r>
          </w:p>
        </w:tc>
        <w:tc>
          <w:tcPr>
            <w:tcW w:w="1433" w:type="dxa"/>
            <w:gridSpan w:val="3"/>
          </w:tcPr>
          <w:p w14:paraId="3D9C54BF" w14:textId="77777777" w:rsidR="00FD5AB2" w:rsidRPr="006C115D" w:rsidRDefault="00FD5AB2"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0,307</w:t>
            </w:r>
          </w:p>
        </w:tc>
      </w:tr>
      <w:tr w:rsidR="00FD5AB2" w14:paraId="7E347E78" w14:textId="77777777" w:rsidTr="00DB7C95">
        <w:tc>
          <w:tcPr>
            <w:cnfStyle w:val="001000000000" w:firstRow="0" w:lastRow="0" w:firstColumn="1" w:lastColumn="0" w:oddVBand="0" w:evenVBand="0" w:oddHBand="0" w:evenHBand="0" w:firstRowFirstColumn="0" w:firstRowLastColumn="0" w:lastRowFirstColumn="0" w:lastRowLastColumn="0"/>
            <w:tcW w:w="1916" w:type="dxa"/>
          </w:tcPr>
          <w:p w14:paraId="1399F161" w14:textId="77777777" w:rsidR="00FD5AB2" w:rsidRPr="001A5041" w:rsidRDefault="00A821CE" w:rsidP="000146E7">
            <w:pPr>
              <w:rPr>
                <w:sz w:val="18"/>
                <w:szCs w:val="18"/>
                <w:lang w:val="en-GB"/>
              </w:rPr>
            </w:pPr>
            <w:r>
              <w:rPr>
                <w:sz w:val="18"/>
                <w:szCs w:val="18"/>
                <w:lang w:val="en-GB"/>
              </w:rPr>
              <w:t>vBMD</w:t>
            </w:r>
          </w:p>
        </w:tc>
        <w:tc>
          <w:tcPr>
            <w:tcW w:w="1188" w:type="dxa"/>
            <w:gridSpan w:val="2"/>
          </w:tcPr>
          <w:p w14:paraId="13CDD33C" w14:textId="77777777" w:rsidR="00FD5AB2" w:rsidRPr="00471EF6" w:rsidRDefault="00FD5AB2"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685,35</w:t>
            </w:r>
          </w:p>
        </w:tc>
        <w:tc>
          <w:tcPr>
            <w:tcW w:w="1188" w:type="dxa"/>
            <w:gridSpan w:val="2"/>
          </w:tcPr>
          <w:p w14:paraId="5A2D52BA" w14:textId="77777777" w:rsidR="00FD5AB2" w:rsidRPr="00471EF6" w:rsidRDefault="00FD5AB2"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695,45</w:t>
            </w:r>
          </w:p>
        </w:tc>
        <w:tc>
          <w:tcPr>
            <w:tcW w:w="1187" w:type="dxa"/>
            <w:gridSpan w:val="2"/>
          </w:tcPr>
          <w:p w14:paraId="17CB90AD" w14:textId="77777777" w:rsidR="00FD5AB2" w:rsidRPr="006C115D" w:rsidRDefault="00FD5AB2"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0,287</w:t>
            </w:r>
          </w:p>
        </w:tc>
        <w:tc>
          <w:tcPr>
            <w:tcW w:w="1188" w:type="dxa"/>
            <w:gridSpan w:val="2"/>
          </w:tcPr>
          <w:p w14:paraId="7779EDEC" w14:textId="77777777" w:rsidR="00FD5AB2" w:rsidRPr="00471EF6" w:rsidRDefault="00FD5AB2"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656,99</w:t>
            </w:r>
          </w:p>
        </w:tc>
        <w:tc>
          <w:tcPr>
            <w:tcW w:w="1188" w:type="dxa"/>
            <w:gridSpan w:val="2"/>
          </w:tcPr>
          <w:p w14:paraId="1BA975F7" w14:textId="77777777" w:rsidR="00FD5AB2" w:rsidRPr="00471EF6" w:rsidRDefault="00FD5AB2"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703,77</w:t>
            </w:r>
          </w:p>
        </w:tc>
        <w:tc>
          <w:tcPr>
            <w:tcW w:w="1433" w:type="dxa"/>
            <w:gridSpan w:val="3"/>
          </w:tcPr>
          <w:p w14:paraId="4F1F48B1" w14:textId="77777777" w:rsidR="00FD5AB2" w:rsidRPr="006C115D" w:rsidRDefault="00FD5AB2"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0,158</w:t>
            </w:r>
          </w:p>
        </w:tc>
      </w:tr>
      <w:tr w:rsidR="00FD5AB2" w14:paraId="659EF03E" w14:textId="77777777" w:rsidTr="00DB7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14"/>
          </w:tcPr>
          <w:p w14:paraId="70220ECE" w14:textId="77777777" w:rsidR="00FD5AB2" w:rsidRDefault="00FD5AB2" w:rsidP="000146E7">
            <w:pPr>
              <w:jc w:val="center"/>
              <w:rPr>
                <w:i/>
                <w:sz w:val="18"/>
                <w:szCs w:val="18"/>
                <w:lang w:val="en-GB"/>
              </w:rPr>
            </w:pPr>
            <w:r>
              <w:rPr>
                <w:i/>
                <w:sz w:val="18"/>
                <w:szCs w:val="18"/>
                <w:lang w:val="en-GB"/>
              </w:rPr>
              <w:t>Cortex</w:t>
            </w:r>
          </w:p>
        </w:tc>
      </w:tr>
      <w:tr w:rsidR="0014195C" w:rsidRPr="007E1F7D" w14:paraId="378D62C9" w14:textId="77777777" w:rsidTr="00DB7C95">
        <w:tc>
          <w:tcPr>
            <w:cnfStyle w:val="001000000000" w:firstRow="0" w:lastRow="0" w:firstColumn="1" w:lastColumn="0" w:oddVBand="0" w:evenVBand="0" w:oddHBand="0" w:evenHBand="0" w:firstRowFirstColumn="0" w:firstRowLastColumn="0" w:lastRowFirstColumn="0" w:lastRowLastColumn="0"/>
            <w:tcW w:w="1916" w:type="dxa"/>
          </w:tcPr>
          <w:p w14:paraId="5ED3F5A3" w14:textId="77777777" w:rsidR="0014195C" w:rsidRPr="007E1F7D" w:rsidRDefault="0014195C" w:rsidP="003C1CD5">
            <w:pPr>
              <w:rPr>
                <w:b w:val="0"/>
                <w:sz w:val="18"/>
                <w:szCs w:val="18"/>
                <w:lang w:val="en-GB"/>
              </w:rPr>
            </w:pPr>
            <w:r>
              <w:rPr>
                <w:b w:val="0"/>
                <w:sz w:val="18"/>
                <w:szCs w:val="18"/>
                <w:lang w:val="en-GB"/>
              </w:rPr>
              <w:t>Location</w:t>
            </w:r>
          </w:p>
        </w:tc>
        <w:tc>
          <w:tcPr>
            <w:tcW w:w="1188" w:type="dxa"/>
            <w:gridSpan w:val="2"/>
          </w:tcPr>
          <w:p w14:paraId="04835073"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 L</w:t>
            </w:r>
            <w:r w:rsidRPr="007E1F7D">
              <w:rPr>
                <w:b/>
                <w:sz w:val="18"/>
                <w:szCs w:val="18"/>
                <w:lang w:val="en-GB"/>
              </w:rPr>
              <w:t xml:space="preserve"> </w:t>
            </w:r>
          </w:p>
        </w:tc>
        <w:tc>
          <w:tcPr>
            <w:tcW w:w="1188" w:type="dxa"/>
            <w:gridSpan w:val="2"/>
          </w:tcPr>
          <w:p w14:paraId="3CB20446"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 xml:space="preserve">before </w:t>
            </w:r>
            <w:r w:rsidRPr="007E1F7D">
              <w:rPr>
                <w:b/>
                <w:sz w:val="18"/>
                <w:szCs w:val="18"/>
                <w:lang w:val="en-GB"/>
              </w:rPr>
              <w:t>C</w:t>
            </w:r>
            <w:r>
              <w:rPr>
                <w:b/>
                <w:sz w:val="18"/>
                <w:szCs w:val="18"/>
                <w:lang w:val="en-GB"/>
              </w:rPr>
              <w:t>SH</w:t>
            </w:r>
            <w:r w:rsidRPr="007E1F7D">
              <w:rPr>
                <w:b/>
                <w:sz w:val="18"/>
                <w:szCs w:val="18"/>
                <w:lang w:val="en-GB"/>
              </w:rPr>
              <w:t xml:space="preserve"> </w:t>
            </w:r>
          </w:p>
        </w:tc>
        <w:tc>
          <w:tcPr>
            <w:tcW w:w="1187" w:type="dxa"/>
            <w:gridSpan w:val="2"/>
          </w:tcPr>
          <w:p w14:paraId="145AC9A0"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P (L)</w:t>
            </w:r>
          </w:p>
        </w:tc>
        <w:tc>
          <w:tcPr>
            <w:tcW w:w="1188" w:type="dxa"/>
            <w:gridSpan w:val="2"/>
          </w:tcPr>
          <w:p w14:paraId="79F5AA95"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w:t>
            </w:r>
            <w:r w:rsidRPr="007E1F7D">
              <w:rPr>
                <w:b/>
                <w:sz w:val="18"/>
                <w:szCs w:val="18"/>
                <w:lang w:val="en-GB"/>
              </w:rPr>
              <w:t xml:space="preserve"> CA</w:t>
            </w:r>
          </w:p>
        </w:tc>
        <w:tc>
          <w:tcPr>
            <w:tcW w:w="1188" w:type="dxa"/>
            <w:gridSpan w:val="2"/>
          </w:tcPr>
          <w:p w14:paraId="609DFD74"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 CSH</w:t>
            </w:r>
          </w:p>
        </w:tc>
        <w:tc>
          <w:tcPr>
            <w:tcW w:w="1433" w:type="dxa"/>
            <w:gridSpan w:val="3"/>
          </w:tcPr>
          <w:p w14:paraId="28113790"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P (CA)</w:t>
            </w:r>
          </w:p>
        </w:tc>
      </w:tr>
      <w:tr w:rsidR="00FD5AB2" w14:paraId="0816AAA4" w14:textId="77777777" w:rsidTr="00DB7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Pr>
          <w:p w14:paraId="20FDB495" w14:textId="77777777" w:rsidR="00FD5AB2" w:rsidRPr="001A5041" w:rsidRDefault="00FD5AB2" w:rsidP="000146E7">
            <w:pPr>
              <w:rPr>
                <w:sz w:val="18"/>
                <w:szCs w:val="18"/>
                <w:lang w:val="en-GB"/>
              </w:rPr>
            </w:pPr>
            <w:r>
              <w:rPr>
                <w:sz w:val="18"/>
                <w:szCs w:val="18"/>
                <w:lang w:val="en-GB"/>
              </w:rPr>
              <w:t>Area</w:t>
            </w:r>
          </w:p>
        </w:tc>
        <w:tc>
          <w:tcPr>
            <w:tcW w:w="1188" w:type="dxa"/>
            <w:gridSpan w:val="2"/>
          </w:tcPr>
          <w:p w14:paraId="400569F5"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72,59</w:t>
            </w:r>
          </w:p>
        </w:tc>
        <w:tc>
          <w:tcPr>
            <w:tcW w:w="1188" w:type="dxa"/>
            <w:gridSpan w:val="2"/>
          </w:tcPr>
          <w:p w14:paraId="2ABEADD4"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73,14</w:t>
            </w:r>
          </w:p>
        </w:tc>
        <w:tc>
          <w:tcPr>
            <w:tcW w:w="1187" w:type="dxa"/>
            <w:gridSpan w:val="2"/>
          </w:tcPr>
          <w:p w14:paraId="701F5EFA" w14:textId="77777777" w:rsidR="00FD5AB2" w:rsidRPr="006C115D" w:rsidRDefault="00FD5AB2"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0,257</w:t>
            </w:r>
          </w:p>
        </w:tc>
        <w:tc>
          <w:tcPr>
            <w:tcW w:w="1188" w:type="dxa"/>
            <w:gridSpan w:val="2"/>
          </w:tcPr>
          <w:p w14:paraId="7E8B892A"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73,05</w:t>
            </w:r>
          </w:p>
        </w:tc>
        <w:tc>
          <w:tcPr>
            <w:tcW w:w="1188" w:type="dxa"/>
            <w:gridSpan w:val="2"/>
          </w:tcPr>
          <w:p w14:paraId="4A1A0346"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82,34</w:t>
            </w:r>
          </w:p>
        </w:tc>
        <w:tc>
          <w:tcPr>
            <w:tcW w:w="1433" w:type="dxa"/>
            <w:gridSpan w:val="3"/>
          </w:tcPr>
          <w:p w14:paraId="62FC6760" w14:textId="494F0B5B" w:rsidR="00FD5AB2" w:rsidRPr="006C115D" w:rsidRDefault="00FD5AB2"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0,038</w:t>
            </w:r>
            <w:r w:rsidR="00880463">
              <w:rPr>
                <w:i/>
                <w:sz w:val="18"/>
                <w:szCs w:val="18"/>
                <w:lang w:val="en-GB"/>
              </w:rPr>
              <w:t>*</w:t>
            </w:r>
          </w:p>
        </w:tc>
      </w:tr>
      <w:tr w:rsidR="00A821CE" w14:paraId="0E0684F0" w14:textId="77777777" w:rsidTr="00DB7C95">
        <w:tc>
          <w:tcPr>
            <w:cnfStyle w:val="001000000000" w:firstRow="0" w:lastRow="0" w:firstColumn="1" w:lastColumn="0" w:oddVBand="0" w:evenVBand="0" w:oddHBand="0" w:evenHBand="0" w:firstRowFirstColumn="0" w:firstRowLastColumn="0" w:lastRowFirstColumn="0" w:lastRowLastColumn="0"/>
            <w:tcW w:w="1916" w:type="dxa"/>
          </w:tcPr>
          <w:p w14:paraId="689D041B" w14:textId="77777777" w:rsidR="00A821CE" w:rsidRPr="001A5041" w:rsidRDefault="00A821CE" w:rsidP="00431BC9">
            <w:pPr>
              <w:rPr>
                <w:sz w:val="18"/>
                <w:szCs w:val="18"/>
                <w:lang w:val="en-GB"/>
              </w:rPr>
            </w:pPr>
            <w:r>
              <w:rPr>
                <w:sz w:val="18"/>
                <w:szCs w:val="18"/>
                <w:lang w:val="en-GB"/>
              </w:rPr>
              <w:t>vBMC</w:t>
            </w:r>
          </w:p>
        </w:tc>
        <w:tc>
          <w:tcPr>
            <w:tcW w:w="1188" w:type="dxa"/>
            <w:gridSpan w:val="2"/>
          </w:tcPr>
          <w:p w14:paraId="6AB3784A"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80,89</w:t>
            </w:r>
          </w:p>
        </w:tc>
        <w:tc>
          <w:tcPr>
            <w:tcW w:w="1188" w:type="dxa"/>
            <w:gridSpan w:val="2"/>
          </w:tcPr>
          <w:p w14:paraId="021AB216"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82,39</w:t>
            </w:r>
          </w:p>
        </w:tc>
        <w:tc>
          <w:tcPr>
            <w:tcW w:w="1187" w:type="dxa"/>
            <w:gridSpan w:val="2"/>
          </w:tcPr>
          <w:p w14:paraId="552EAB7D" w14:textId="158DBBF0" w:rsidR="00A821CE" w:rsidRPr="006C115D" w:rsidRDefault="00A821CE"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0,018</w:t>
            </w:r>
            <w:r w:rsidR="00880463">
              <w:rPr>
                <w:i/>
                <w:sz w:val="18"/>
                <w:szCs w:val="18"/>
                <w:lang w:val="en-GB"/>
              </w:rPr>
              <w:t>*</w:t>
            </w:r>
          </w:p>
        </w:tc>
        <w:tc>
          <w:tcPr>
            <w:tcW w:w="1188" w:type="dxa"/>
            <w:gridSpan w:val="2"/>
          </w:tcPr>
          <w:p w14:paraId="7A75CEC6"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79,64</w:t>
            </w:r>
          </w:p>
        </w:tc>
        <w:tc>
          <w:tcPr>
            <w:tcW w:w="1188" w:type="dxa"/>
            <w:gridSpan w:val="2"/>
          </w:tcPr>
          <w:p w14:paraId="148A7625"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91,78</w:t>
            </w:r>
          </w:p>
        </w:tc>
        <w:tc>
          <w:tcPr>
            <w:tcW w:w="1433" w:type="dxa"/>
            <w:gridSpan w:val="3"/>
          </w:tcPr>
          <w:p w14:paraId="1EE338CB" w14:textId="7B25B6D6" w:rsidR="00A821CE" w:rsidRPr="006C115D" w:rsidRDefault="00A821CE"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0,016</w:t>
            </w:r>
            <w:r w:rsidR="00880463">
              <w:rPr>
                <w:i/>
                <w:sz w:val="18"/>
                <w:szCs w:val="18"/>
                <w:lang w:val="en-GB"/>
              </w:rPr>
              <w:t>*</w:t>
            </w:r>
          </w:p>
        </w:tc>
      </w:tr>
      <w:tr w:rsidR="00A821CE" w14:paraId="7F85BCAD" w14:textId="77777777" w:rsidTr="00DB7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Pr>
          <w:p w14:paraId="2B269FB7" w14:textId="77777777" w:rsidR="00A821CE" w:rsidRPr="001A5041" w:rsidRDefault="00A821CE" w:rsidP="00431BC9">
            <w:pPr>
              <w:rPr>
                <w:sz w:val="18"/>
                <w:szCs w:val="18"/>
                <w:lang w:val="en-GB"/>
              </w:rPr>
            </w:pPr>
            <w:r>
              <w:rPr>
                <w:sz w:val="18"/>
                <w:szCs w:val="18"/>
                <w:lang w:val="en-GB"/>
              </w:rPr>
              <w:t>vBMD</w:t>
            </w:r>
          </w:p>
        </w:tc>
        <w:tc>
          <w:tcPr>
            <w:tcW w:w="1188" w:type="dxa"/>
            <w:gridSpan w:val="2"/>
          </w:tcPr>
          <w:p w14:paraId="03C9EFA0" w14:textId="77777777" w:rsidR="00A821CE" w:rsidRPr="00471EF6" w:rsidRDefault="00A821CE"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1115,51</w:t>
            </w:r>
          </w:p>
        </w:tc>
        <w:tc>
          <w:tcPr>
            <w:tcW w:w="1188" w:type="dxa"/>
            <w:gridSpan w:val="2"/>
          </w:tcPr>
          <w:p w14:paraId="74FA6CD1" w14:textId="77777777" w:rsidR="00A821CE" w:rsidRPr="00471EF6" w:rsidRDefault="00A821CE"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1125,68</w:t>
            </w:r>
          </w:p>
        </w:tc>
        <w:tc>
          <w:tcPr>
            <w:tcW w:w="1187" w:type="dxa"/>
            <w:gridSpan w:val="2"/>
          </w:tcPr>
          <w:p w14:paraId="462D87C2" w14:textId="77777777" w:rsidR="00A821CE" w:rsidRPr="006C115D" w:rsidRDefault="00A821CE"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0,127</w:t>
            </w:r>
          </w:p>
        </w:tc>
        <w:tc>
          <w:tcPr>
            <w:tcW w:w="1188" w:type="dxa"/>
            <w:gridSpan w:val="2"/>
          </w:tcPr>
          <w:p w14:paraId="5BBE04CD" w14:textId="77777777" w:rsidR="00A821CE" w:rsidRPr="00471EF6" w:rsidRDefault="00A821CE"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1007,90</w:t>
            </w:r>
          </w:p>
        </w:tc>
        <w:tc>
          <w:tcPr>
            <w:tcW w:w="1188" w:type="dxa"/>
            <w:gridSpan w:val="2"/>
          </w:tcPr>
          <w:p w14:paraId="23CB18D2" w14:textId="77777777" w:rsidR="00A821CE" w:rsidRPr="00471EF6" w:rsidRDefault="00A821CE"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1113,59</w:t>
            </w:r>
          </w:p>
        </w:tc>
        <w:tc>
          <w:tcPr>
            <w:tcW w:w="1433" w:type="dxa"/>
            <w:gridSpan w:val="3"/>
          </w:tcPr>
          <w:p w14:paraId="4183FCCB" w14:textId="2B4760F9" w:rsidR="00A821CE" w:rsidRPr="006C115D" w:rsidRDefault="00A821CE"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0,011</w:t>
            </w:r>
            <w:r w:rsidR="00880463">
              <w:rPr>
                <w:i/>
                <w:sz w:val="18"/>
                <w:szCs w:val="18"/>
                <w:lang w:val="en-GB"/>
              </w:rPr>
              <w:t>*</w:t>
            </w:r>
          </w:p>
        </w:tc>
      </w:tr>
      <w:tr w:rsidR="00B771FB" w14:paraId="2DEA13BE" w14:textId="77777777" w:rsidTr="00DB7C95">
        <w:tc>
          <w:tcPr>
            <w:cnfStyle w:val="001000000000" w:firstRow="0" w:lastRow="0" w:firstColumn="1" w:lastColumn="0" w:oddVBand="0" w:evenVBand="0" w:oddHBand="0" w:evenHBand="0" w:firstRowFirstColumn="0" w:firstRowLastColumn="0" w:lastRowFirstColumn="0" w:lastRowLastColumn="0"/>
            <w:tcW w:w="1916" w:type="dxa"/>
          </w:tcPr>
          <w:p w14:paraId="0F72A55C" w14:textId="77777777" w:rsidR="00B771FB" w:rsidRDefault="00B771FB" w:rsidP="008204AE">
            <w:pPr>
              <w:rPr>
                <w:sz w:val="18"/>
                <w:szCs w:val="18"/>
                <w:lang w:val="en-GB"/>
              </w:rPr>
            </w:pPr>
            <w:r>
              <w:rPr>
                <w:sz w:val="18"/>
                <w:szCs w:val="18"/>
                <w:lang w:val="en-GB"/>
              </w:rPr>
              <w:t>Z-scores: vBMD</w:t>
            </w:r>
          </w:p>
        </w:tc>
        <w:tc>
          <w:tcPr>
            <w:tcW w:w="1188" w:type="dxa"/>
            <w:gridSpan w:val="2"/>
          </w:tcPr>
          <w:p w14:paraId="3C3E8533" w14:textId="77777777" w:rsidR="00B771FB" w:rsidRPr="00471EF6" w:rsidRDefault="00B771FB" w:rsidP="008204AE">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0,255</w:t>
            </w:r>
          </w:p>
        </w:tc>
        <w:tc>
          <w:tcPr>
            <w:tcW w:w="1188" w:type="dxa"/>
            <w:gridSpan w:val="2"/>
          </w:tcPr>
          <w:p w14:paraId="4588DA02" w14:textId="77777777" w:rsidR="00B771FB" w:rsidRPr="00471EF6" w:rsidRDefault="00B771FB" w:rsidP="008204AE">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0,128</w:t>
            </w:r>
          </w:p>
        </w:tc>
        <w:tc>
          <w:tcPr>
            <w:tcW w:w="1187" w:type="dxa"/>
            <w:gridSpan w:val="2"/>
          </w:tcPr>
          <w:p w14:paraId="2E204875" w14:textId="77777777" w:rsidR="00B771FB" w:rsidRPr="006C115D" w:rsidRDefault="00B771FB" w:rsidP="008204AE">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0,542</w:t>
            </w:r>
          </w:p>
        </w:tc>
        <w:tc>
          <w:tcPr>
            <w:tcW w:w="1188" w:type="dxa"/>
            <w:gridSpan w:val="2"/>
          </w:tcPr>
          <w:p w14:paraId="27888028" w14:textId="77777777" w:rsidR="00B771FB" w:rsidRPr="00471EF6" w:rsidRDefault="00B771FB" w:rsidP="008204AE">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0,583</w:t>
            </w:r>
          </w:p>
        </w:tc>
        <w:tc>
          <w:tcPr>
            <w:tcW w:w="1188" w:type="dxa"/>
            <w:gridSpan w:val="2"/>
          </w:tcPr>
          <w:p w14:paraId="3AA9353B" w14:textId="77777777" w:rsidR="00B771FB" w:rsidRPr="00471EF6" w:rsidRDefault="00B771FB" w:rsidP="008204AE">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0,858</w:t>
            </w:r>
          </w:p>
        </w:tc>
        <w:tc>
          <w:tcPr>
            <w:tcW w:w="1433" w:type="dxa"/>
            <w:gridSpan w:val="3"/>
          </w:tcPr>
          <w:p w14:paraId="086BE2D7" w14:textId="77777777" w:rsidR="00B771FB" w:rsidRPr="006C115D" w:rsidRDefault="00B771FB" w:rsidP="008204AE">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0,098</w:t>
            </w:r>
          </w:p>
        </w:tc>
      </w:tr>
      <w:tr w:rsidR="00FD5AB2" w14:paraId="7F067251" w14:textId="77777777" w:rsidTr="00DB7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Pr>
          <w:p w14:paraId="48A43D3F" w14:textId="77777777" w:rsidR="00FD5AB2" w:rsidRDefault="00A821CE" w:rsidP="00A821CE">
            <w:pPr>
              <w:rPr>
                <w:sz w:val="18"/>
                <w:szCs w:val="18"/>
                <w:lang w:val="en-GB"/>
              </w:rPr>
            </w:pPr>
            <w:r>
              <w:rPr>
                <w:sz w:val="18"/>
                <w:szCs w:val="18"/>
                <w:lang w:val="en-GB"/>
              </w:rPr>
              <w:t>Cortical t</w:t>
            </w:r>
            <w:r w:rsidR="00FD5AB2">
              <w:rPr>
                <w:sz w:val="18"/>
                <w:szCs w:val="18"/>
                <w:lang w:val="en-GB"/>
              </w:rPr>
              <w:t>hickness</w:t>
            </w:r>
          </w:p>
        </w:tc>
        <w:tc>
          <w:tcPr>
            <w:tcW w:w="1188" w:type="dxa"/>
            <w:gridSpan w:val="2"/>
          </w:tcPr>
          <w:p w14:paraId="5FCE723A"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2,021</w:t>
            </w:r>
          </w:p>
        </w:tc>
        <w:tc>
          <w:tcPr>
            <w:tcW w:w="1188" w:type="dxa"/>
            <w:gridSpan w:val="2"/>
          </w:tcPr>
          <w:p w14:paraId="0E00FAD5"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2,054</w:t>
            </w:r>
          </w:p>
        </w:tc>
        <w:tc>
          <w:tcPr>
            <w:tcW w:w="1187" w:type="dxa"/>
            <w:gridSpan w:val="2"/>
          </w:tcPr>
          <w:p w14:paraId="56A37619" w14:textId="77777777" w:rsidR="00FD5AB2" w:rsidRPr="006C115D" w:rsidRDefault="00FD5AB2"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0,221</w:t>
            </w:r>
          </w:p>
        </w:tc>
        <w:tc>
          <w:tcPr>
            <w:tcW w:w="1188" w:type="dxa"/>
            <w:gridSpan w:val="2"/>
          </w:tcPr>
          <w:p w14:paraId="57F68A2D"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1,969</w:t>
            </w:r>
          </w:p>
        </w:tc>
        <w:tc>
          <w:tcPr>
            <w:tcW w:w="1188" w:type="dxa"/>
            <w:gridSpan w:val="2"/>
          </w:tcPr>
          <w:p w14:paraId="281FCC2C"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2,220</w:t>
            </w:r>
          </w:p>
        </w:tc>
        <w:tc>
          <w:tcPr>
            <w:tcW w:w="1433" w:type="dxa"/>
            <w:gridSpan w:val="3"/>
          </w:tcPr>
          <w:p w14:paraId="66E87612" w14:textId="77777777" w:rsidR="00FD5AB2" w:rsidRPr="006C115D" w:rsidRDefault="00FD5AB2"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0,221</w:t>
            </w:r>
          </w:p>
        </w:tc>
      </w:tr>
      <w:tr w:rsidR="00FD5AB2" w14:paraId="0F51FA34" w14:textId="77777777" w:rsidTr="00DB7C95">
        <w:tc>
          <w:tcPr>
            <w:cnfStyle w:val="001000000000" w:firstRow="0" w:lastRow="0" w:firstColumn="1" w:lastColumn="0" w:oddVBand="0" w:evenVBand="0" w:oddHBand="0" w:evenHBand="0" w:firstRowFirstColumn="0" w:firstRowLastColumn="0" w:lastRowFirstColumn="0" w:lastRowLastColumn="0"/>
            <w:tcW w:w="1916" w:type="dxa"/>
          </w:tcPr>
          <w:p w14:paraId="355C8F34" w14:textId="77777777" w:rsidR="00FD5AB2" w:rsidRPr="001A5041" w:rsidRDefault="00FD5AB2" w:rsidP="000146E7">
            <w:pPr>
              <w:rPr>
                <w:sz w:val="18"/>
                <w:szCs w:val="18"/>
                <w:lang w:val="en-GB"/>
              </w:rPr>
            </w:pPr>
            <w:r>
              <w:rPr>
                <w:sz w:val="18"/>
                <w:szCs w:val="18"/>
                <w:lang w:val="en-GB"/>
              </w:rPr>
              <w:t>Circumference: periost</w:t>
            </w:r>
          </w:p>
        </w:tc>
        <w:tc>
          <w:tcPr>
            <w:tcW w:w="1188" w:type="dxa"/>
            <w:gridSpan w:val="2"/>
          </w:tcPr>
          <w:p w14:paraId="3AEE8872" w14:textId="77777777" w:rsidR="00FD5AB2" w:rsidRPr="00471EF6" w:rsidRDefault="00FD5AB2"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42,408</w:t>
            </w:r>
          </w:p>
        </w:tc>
        <w:tc>
          <w:tcPr>
            <w:tcW w:w="1188" w:type="dxa"/>
            <w:gridSpan w:val="2"/>
          </w:tcPr>
          <w:p w14:paraId="6BF54CFC" w14:textId="77777777" w:rsidR="00FD5AB2" w:rsidRPr="00471EF6" w:rsidRDefault="00FD5AB2"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42,212</w:t>
            </w:r>
          </w:p>
        </w:tc>
        <w:tc>
          <w:tcPr>
            <w:tcW w:w="1187" w:type="dxa"/>
            <w:gridSpan w:val="2"/>
          </w:tcPr>
          <w:p w14:paraId="3C975C01" w14:textId="77777777" w:rsidR="00FD5AB2" w:rsidRPr="006C115D" w:rsidRDefault="00FD5AB2"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0,969</w:t>
            </w:r>
          </w:p>
        </w:tc>
        <w:tc>
          <w:tcPr>
            <w:tcW w:w="1188" w:type="dxa"/>
            <w:gridSpan w:val="2"/>
          </w:tcPr>
          <w:p w14:paraId="15B160F7" w14:textId="77777777" w:rsidR="00FD5AB2" w:rsidRPr="00471EF6" w:rsidRDefault="00FD5AB2"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46,511</w:t>
            </w:r>
          </w:p>
        </w:tc>
        <w:tc>
          <w:tcPr>
            <w:tcW w:w="1188" w:type="dxa"/>
            <w:gridSpan w:val="2"/>
          </w:tcPr>
          <w:p w14:paraId="50E1ABF6" w14:textId="77777777" w:rsidR="00FD5AB2" w:rsidRPr="00471EF6" w:rsidRDefault="00FD5AB2"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44,290</w:t>
            </w:r>
          </w:p>
        </w:tc>
        <w:tc>
          <w:tcPr>
            <w:tcW w:w="1433" w:type="dxa"/>
            <w:gridSpan w:val="3"/>
          </w:tcPr>
          <w:p w14:paraId="7C8EDA19" w14:textId="77777777" w:rsidR="00FD5AB2" w:rsidRPr="006C115D" w:rsidRDefault="00FD5AB2"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0,510</w:t>
            </w:r>
          </w:p>
        </w:tc>
      </w:tr>
      <w:tr w:rsidR="00FD5AB2" w14:paraId="56DE06DD" w14:textId="77777777" w:rsidTr="00DB7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Pr>
          <w:p w14:paraId="56F85FF3" w14:textId="77777777" w:rsidR="00FD5AB2" w:rsidRPr="001A5041" w:rsidRDefault="00FD5AB2" w:rsidP="000146E7">
            <w:pPr>
              <w:rPr>
                <w:sz w:val="18"/>
                <w:szCs w:val="18"/>
                <w:lang w:val="en-GB"/>
              </w:rPr>
            </w:pPr>
            <w:r>
              <w:rPr>
                <w:sz w:val="18"/>
                <w:szCs w:val="18"/>
                <w:lang w:val="en-GB"/>
              </w:rPr>
              <w:t xml:space="preserve">Endost </w:t>
            </w:r>
          </w:p>
        </w:tc>
        <w:tc>
          <w:tcPr>
            <w:tcW w:w="1188" w:type="dxa"/>
            <w:gridSpan w:val="2"/>
          </w:tcPr>
          <w:p w14:paraId="1185DCEC"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29,709</w:t>
            </w:r>
          </w:p>
        </w:tc>
        <w:tc>
          <w:tcPr>
            <w:tcW w:w="1188" w:type="dxa"/>
            <w:gridSpan w:val="2"/>
          </w:tcPr>
          <w:p w14:paraId="577915EF"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29,305</w:t>
            </w:r>
          </w:p>
        </w:tc>
        <w:tc>
          <w:tcPr>
            <w:tcW w:w="1187" w:type="dxa"/>
            <w:gridSpan w:val="2"/>
          </w:tcPr>
          <w:p w14:paraId="5B4B679C" w14:textId="77777777" w:rsidR="00FD5AB2" w:rsidRPr="006C115D" w:rsidRDefault="00FD5AB2"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0,644</w:t>
            </w:r>
          </w:p>
        </w:tc>
        <w:tc>
          <w:tcPr>
            <w:tcW w:w="1188" w:type="dxa"/>
            <w:gridSpan w:val="2"/>
          </w:tcPr>
          <w:p w14:paraId="76D2BA30"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34,138</w:t>
            </w:r>
          </w:p>
        </w:tc>
        <w:tc>
          <w:tcPr>
            <w:tcW w:w="1188" w:type="dxa"/>
            <w:gridSpan w:val="2"/>
          </w:tcPr>
          <w:p w14:paraId="0D3DC092"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30,341</w:t>
            </w:r>
          </w:p>
        </w:tc>
        <w:tc>
          <w:tcPr>
            <w:tcW w:w="1433" w:type="dxa"/>
            <w:gridSpan w:val="3"/>
          </w:tcPr>
          <w:p w14:paraId="151161B5" w14:textId="77777777" w:rsidR="00FD5AB2" w:rsidRPr="006C115D" w:rsidRDefault="00FD5AB2"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0,551</w:t>
            </w:r>
          </w:p>
        </w:tc>
      </w:tr>
      <w:tr w:rsidR="00FD5AB2" w:rsidRPr="00CA6C11" w14:paraId="66CE25DD" w14:textId="77777777" w:rsidTr="00DB7C95">
        <w:tc>
          <w:tcPr>
            <w:cnfStyle w:val="001000000000" w:firstRow="0" w:lastRow="0" w:firstColumn="1" w:lastColumn="0" w:oddVBand="0" w:evenVBand="0" w:oddHBand="0" w:evenHBand="0" w:firstRowFirstColumn="0" w:firstRowLastColumn="0" w:lastRowFirstColumn="0" w:lastRowLastColumn="0"/>
            <w:tcW w:w="9288" w:type="dxa"/>
            <w:gridSpan w:val="14"/>
          </w:tcPr>
          <w:p w14:paraId="1EBA2946" w14:textId="5E818C09" w:rsidR="00FD5AB2" w:rsidRDefault="005B714E" w:rsidP="005B714E">
            <w:pPr>
              <w:jc w:val="center"/>
              <w:rPr>
                <w:i/>
                <w:sz w:val="18"/>
                <w:szCs w:val="18"/>
                <w:lang w:val="en-GB"/>
              </w:rPr>
            </w:pPr>
            <w:r>
              <w:rPr>
                <w:i/>
                <w:sz w:val="18"/>
                <w:szCs w:val="18"/>
                <w:lang w:val="en-GB"/>
              </w:rPr>
              <w:t>Bone s</w:t>
            </w:r>
            <w:r w:rsidR="00FD5AB2">
              <w:rPr>
                <w:i/>
                <w:sz w:val="18"/>
                <w:szCs w:val="18"/>
                <w:lang w:val="en-GB"/>
              </w:rPr>
              <w:t>trength</w:t>
            </w:r>
          </w:p>
        </w:tc>
      </w:tr>
      <w:tr w:rsidR="0014195C" w:rsidRPr="007E1F7D" w14:paraId="018623A5" w14:textId="77777777" w:rsidTr="00DB7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Pr>
          <w:p w14:paraId="301C03A8" w14:textId="77777777" w:rsidR="0014195C" w:rsidRPr="007E1F7D" w:rsidRDefault="0014195C" w:rsidP="003C1CD5">
            <w:pPr>
              <w:rPr>
                <w:b w:val="0"/>
                <w:sz w:val="18"/>
                <w:szCs w:val="18"/>
                <w:lang w:val="en-GB"/>
              </w:rPr>
            </w:pPr>
            <w:r>
              <w:rPr>
                <w:b w:val="0"/>
                <w:sz w:val="18"/>
                <w:szCs w:val="18"/>
                <w:lang w:val="en-GB"/>
              </w:rPr>
              <w:t>Location</w:t>
            </w:r>
          </w:p>
        </w:tc>
        <w:tc>
          <w:tcPr>
            <w:tcW w:w="1188" w:type="dxa"/>
            <w:gridSpan w:val="2"/>
          </w:tcPr>
          <w:p w14:paraId="3DC51E2C"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 L</w:t>
            </w:r>
            <w:r w:rsidRPr="007E1F7D">
              <w:rPr>
                <w:b/>
                <w:sz w:val="18"/>
                <w:szCs w:val="18"/>
                <w:lang w:val="en-GB"/>
              </w:rPr>
              <w:t xml:space="preserve"> </w:t>
            </w:r>
          </w:p>
        </w:tc>
        <w:tc>
          <w:tcPr>
            <w:tcW w:w="1188" w:type="dxa"/>
            <w:gridSpan w:val="2"/>
          </w:tcPr>
          <w:p w14:paraId="4E23452A"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 xml:space="preserve">before </w:t>
            </w:r>
            <w:r w:rsidRPr="007E1F7D">
              <w:rPr>
                <w:b/>
                <w:sz w:val="18"/>
                <w:szCs w:val="18"/>
                <w:lang w:val="en-GB"/>
              </w:rPr>
              <w:t>C</w:t>
            </w:r>
            <w:r>
              <w:rPr>
                <w:b/>
                <w:sz w:val="18"/>
                <w:szCs w:val="18"/>
                <w:lang w:val="en-GB"/>
              </w:rPr>
              <w:t>SH</w:t>
            </w:r>
            <w:r w:rsidRPr="007E1F7D">
              <w:rPr>
                <w:b/>
                <w:sz w:val="18"/>
                <w:szCs w:val="18"/>
                <w:lang w:val="en-GB"/>
              </w:rPr>
              <w:t xml:space="preserve"> </w:t>
            </w:r>
          </w:p>
        </w:tc>
        <w:tc>
          <w:tcPr>
            <w:tcW w:w="1187" w:type="dxa"/>
            <w:gridSpan w:val="2"/>
          </w:tcPr>
          <w:p w14:paraId="3A214B87"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P (L)</w:t>
            </w:r>
          </w:p>
        </w:tc>
        <w:tc>
          <w:tcPr>
            <w:tcW w:w="1188" w:type="dxa"/>
            <w:gridSpan w:val="2"/>
          </w:tcPr>
          <w:p w14:paraId="2A5B49C5"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w:t>
            </w:r>
            <w:r w:rsidRPr="007E1F7D">
              <w:rPr>
                <w:b/>
                <w:sz w:val="18"/>
                <w:szCs w:val="18"/>
                <w:lang w:val="en-GB"/>
              </w:rPr>
              <w:t xml:space="preserve"> CA</w:t>
            </w:r>
          </w:p>
        </w:tc>
        <w:tc>
          <w:tcPr>
            <w:tcW w:w="1188" w:type="dxa"/>
            <w:gridSpan w:val="2"/>
          </w:tcPr>
          <w:p w14:paraId="0B29C83C"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 CSH</w:t>
            </w:r>
          </w:p>
        </w:tc>
        <w:tc>
          <w:tcPr>
            <w:tcW w:w="1433" w:type="dxa"/>
            <w:gridSpan w:val="3"/>
          </w:tcPr>
          <w:p w14:paraId="5CF36C14"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P (CA)</w:t>
            </w:r>
          </w:p>
        </w:tc>
      </w:tr>
      <w:tr w:rsidR="00FD5AB2" w14:paraId="4E582034" w14:textId="77777777" w:rsidTr="00DB7C95">
        <w:tc>
          <w:tcPr>
            <w:cnfStyle w:val="001000000000" w:firstRow="0" w:lastRow="0" w:firstColumn="1" w:lastColumn="0" w:oddVBand="0" w:evenVBand="0" w:oddHBand="0" w:evenHBand="0" w:firstRowFirstColumn="0" w:firstRowLastColumn="0" w:lastRowFirstColumn="0" w:lastRowLastColumn="0"/>
            <w:tcW w:w="1916" w:type="dxa"/>
          </w:tcPr>
          <w:p w14:paraId="455ACB63" w14:textId="1F1BA970" w:rsidR="00FD5AB2" w:rsidRPr="005805AF" w:rsidRDefault="008D6C5B" w:rsidP="008D6C5B">
            <w:pPr>
              <w:rPr>
                <w:sz w:val="18"/>
                <w:szCs w:val="18"/>
                <w:lang w:val="en-GB"/>
              </w:rPr>
            </w:pPr>
            <w:r>
              <w:rPr>
                <w:sz w:val="18"/>
                <w:szCs w:val="18"/>
                <w:lang w:val="en-GB"/>
              </w:rPr>
              <w:t>Z-scores: SSI</w:t>
            </w:r>
          </w:p>
        </w:tc>
        <w:tc>
          <w:tcPr>
            <w:tcW w:w="1188" w:type="dxa"/>
            <w:gridSpan w:val="2"/>
          </w:tcPr>
          <w:p w14:paraId="47398129" w14:textId="77777777" w:rsidR="00FD5AB2" w:rsidRPr="00471EF6" w:rsidRDefault="00FD5AB2"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0,645</w:t>
            </w:r>
          </w:p>
        </w:tc>
        <w:tc>
          <w:tcPr>
            <w:tcW w:w="1188" w:type="dxa"/>
            <w:gridSpan w:val="2"/>
          </w:tcPr>
          <w:p w14:paraId="041CE6D4" w14:textId="77777777" w:rsidR="00FD5AB2" w:rsidRPr="00471EF6" w:rsidRDefault="00FD5AB2"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0,659</w:t>
            </w:r>
          </w:p>
        </w:tc>
        <w:tc>
          <w:tcPr>
            <w:tcW w:w="1187" w:type="dxa"/>
            <w:gridSpan w:val="2"/>
          </w:tcPr>
          <w:p w14:paraId="63CFF9D4" w14:textId="77777777" w:rsidR="00FD5AB2" w:rsidRPr="006C115D" w:rsidRDefault="00FD5AB2"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0,522</w:t>
            </w:r>
          </w:p>
        </w:tc>
        <w:tc>
          <w:tcPr>
            <w:tcW w:w="1188" w:type="dxa"/>
            <w:gridSpan w:val="2"/>
          </w:tcPr>
          <w:p w14:paraId="3CB0174D" w14:textId="77777777" w:rsidR="00FD5AB2" w:rsidRPr="00471EF6" w:rsidRDefault="00FD5AB2"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-0,150</w:t>
            </w:r>
          </w:p>
        </w:tc>
        <w:tc>
          <w:tcPr>
            <w:tcW w:w="1188" w:type="dxa"/>
            <w:gridSpan w:val="2"/>
          </w:tcPr>
          <w:p w14:paraId="4A7AC448" w14:textId="77777777" w:rsidR="00FD5AB2" w:rsidRPr="00471EF6" w:rsidRDefault="00FD5AB2"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-0,483</w:t>
            </w:r>
          </w:p>
        </w:tc>
        <w:tc>
          <w:tcPr>
            <w:tcW w:w="1433" w:type="dxa"/>
            <w:gridSpan w:val="3"/>
          </w:tcPr>
          <w:p w14:paraId="62C8D9CB" w14:textId="3CE287FF" w:rsidR="00FD5AB2" w:rsidRPr="006C115D" w:rsidRDefault="00FD5AB2"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0,002</w:t>
            </w:r>
            <w:r w:rsidR="00880463">
              <w:rPr>
                <w:i/>
                <w:sz w:val="18"/>
                <w:szCs w:val="18"/>
                <w:lang w:val="en-GB"/>
              </w:rPr>
              <w:t>*</w:t>
            </w:r>
          </w:p>
        </w:tc>
      </w:tr>
      <w:tr w:rsidR="00FD5AB2" w:rsidRPr="0052143C" w14:paraId="1D7EB82E" w14:textId="77777777" w:rsidTr="00611420">
        <w:trPr>
          <w:gridAfter w:val="1"/>
          <w:cnfStyle w:val="000000100000" w:firstRow="0" w:lastRow="0" w:firstColumn="0" w:lastColumn="0" w:oddVBand="0" w:evenVBand="0" w:oddHBand="1" w:evenHBand="0" w:firstRowFirstColumn="0" w:firstRowLastColumn="0" w:lastRowFirstColumn="0" w:lastRowLastColumn="0"/>
          <w:wAfter w:w="76" w:type="dxa"/>
        </w:trPr>
        <w:tc>
          <w:tcPr>
            <w:cnfStyle w:val="001000000000" w:firstRow="0" w:lastRow="0" w:firstColumn="1" w:lastColumn="0" w:oddVBand="0" w:evenVBand="0" w:oddHBand="0" w:evenHBand="0" w:firstRowFirstColumn="0" w:firstRowLastColumn="0" w:lastRowFirstColumn="0" w:lastRowLastColumn="0"/>
            <w:tcW w:w="9212" w:type="dxa"/>
            <w:gridSpan w:val="13"/>
            <w:shd w:val="clear" w:color="auto" w:fill="D9D9D9" w:themeFill="background1" w:themeFillShade="D9"/>
          </w:tcPr>
          <w:p w14:paraId="71EFF45E" w14:textId="77777777" w:rsidR="00FD5AB2" w:rsidRPr="0052143C" w:rsidRDefault="00FD5AB2" w:rsidP="000146E7">
            <w:pPr>
              <w:jc w:val="center"/>
              <w:rPr>
                <w:b w:val="0"/>
                <w:sz w:val="18"/>
                <w:szCs w:val="18"/>
                <w:lang w:val="en-GB"/>
              </w:rPr>
            </w:pPr>
            <w:r>
              <w:rPr>
                <w:sz w:val="18"/>
                <w:szCs w:val="18"/>
                <w:lang w:val="en-GB"/>
              </w:rPr>
              <w:t>Bone - Tibia 38%</w:t>
            </w:r>
          </w:p>
        </w:tc>
      </w:tr>
      <w:tr w:rsidR="00FD5AB2" w14:paraId="5B1B1073" w14:textId="77777777" w:rsidTr="00611420">
        <w:trPr>
          <w:gridAfter w:val="1"/>
          <w:wAfter w:w="76" w:type="dxa"/>
        </w:trPr>
        <w:tc>
          <w:tcPr>
            <w:cnfStyle w:val="001000000000" w:firstRow="0" w:lastRow="0" w:firstColumn="1" w:lastColumn="0" w:oddVBand="0" w:evenVBand="0" w:oddHBand="0" w:evenHBand="0" w:firstRowFirstColumn="0" w:firstRowLastColumn="0" w:lastRowFirstColumn="0" w:lastRowLastColumn="0"/>
            <w:tcW w:w="9212" w:type="dxa"/>
            <w:gridSpan w:val="13"/>
          </w:tcPr>
          <w:p w14:paraId="216C8445" w14:textId="77777777" w:rsidR="00FD5AB2" w:rsidRDefault="00FD5AB2" w:rsidP="000146E7">
            <w:pPr>
              <w:jc w:val="center"/>
              <w:rPr>
                <w:i/>
                <w:sz w:val="18"/>
                <w:szCs w:val="18"/>
                <w:lang w:val="en-GB"/>
              </w:rPr>
            </w:pPr>
            <w:r>
              <w:rPr>
                <w:i/>
                <w:sz w:val="18"/>
                <w:szCs w:val="18"/>
                <w:lang w:val="en-GB"/>
              </w:rPr>
              <w:t>Total</w:t>
            </w:r>
          </w:p>
        </w:tc>
      </w:tr>
      <w:tr w:rsidR="0014195C" w:rsidRPr="007E1F7D" w14:paraId="3734273E" w14:textId="77777777" w:rsidTr="003C1CD5">
        <w:trPr>
          <w:gridAfter w:val="1"/>
          <w:cnfStyle w:val="000000100000" w:firstRow="0" w:lastRow="0" w:firstColumn="0" w:lastColumn="0" w:oddVBand="0" w:evenVBand="0" w:oddHBand="1" w:evenHBand="0" w:firstRowFirstColumn="0" w:firstRowLastColumn="0" w:lastRowFirstColumn="0" w:lastRowLastColumn="0"/>
          <w:wAfter w:w="76"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55F89E8A" w14:textId="77777777" w:rsidR="0014195C" w:rsidRPr="007E1F7D" w:rsidRDefault="0014195C" w:rsidP="003C1CD5">
            <w:pPr>
              <w:rPr>
                <w:b w:val="0"/>
                <w:sz w:val="18"/>
                <w:szCs w:val="18"/>
                <w:lang w:val="en-GB"/>
              </w:rPr>
            </w:pPr>
            <w:r>
              <w:rPr>
                <w:b w:val="0"/>
                <w:sz w:val="18"/>
                <w:szCs w:val="18"/>
                <w:lang w:val="en-GB"/>
              </w:rPr>
              <w:t>Location</w:t>
            </w:r>
          </w:p>
        </w:tc>
        <w:tc>
          <w:tcPr>
            <w:tcW w:w="1210" w:type="dxa"/>
            <w:gridSpan w:val="2"/>
          </w:tcPr>
          <w:p w14:paraId="3DE70619"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 L</w:t>
            </w:r>
            <w:r w:rsidRPr="007E1F7D">
              <w:rPr>
                <w:b/>
                <w:sz w:val="18"/>
                <w:szCs w:val="18"/>
                <w:lang w:val="en-GB"/>
              </w:rPr>
              <w:t xml:space="preserve"> </w:t>
            </w:r>
          </w:p>
        </w:tc>
        <w:tc>
          <w:tcPr>
            <w:tcW w:w="1210" w:type="dxa"/>
            <w:gridSpan w:val="2"/>
          </w:tcPr>
          <w:p w14:paraId="62E1D17C"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 xml:space="preserve">before </w:t>
            </w:r>
            <w:r w:rsidRPr="007E1F7D">
              <w:rPr>
                <w:b/>
                <w:sz w:val="18"/>
                <w:szCs w:val="18"/>
                <w:lang w:val="en-GB"/>
              </w:rPr>
              <w:t>C</w:t>
            </w:r>
            <w:r>
              <w:rPr>
                <w:b/>
                <w:sz w:val="18"/>
                <w:szCs w:val="18"/>
                <w:lang w:val="en-GB"/>
              </w:rPr>
              <w:t>SH</w:t>
            </w:r>
            <w:r w:rsidRPr="007E1F7D">
              <w:rPr>
                <w:b/>
                <w:sz w:val="18"/>
                <w:szCs w:val="18"/>
                <w:lang w:val="en-GB"/>
              </w:rPr>
              <w:t xml:space="preserve"> </w:t>
            </w:r>
          </w:p>
        </w:tc>
        <w:tc>
          <w:tcPr>
            <w:tcW w:w="1210" w:type="dxa"/>
            <w:gridSpan w:val="2"/>
          </w:tcPr>
          <w:p w14:paraId="0C2E6B2D"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P (L)</w:t>
            </w:r>
          </w:p>
        </w:tc>
        <w:tc>
          <w:tcPr>
            <w:tcW w:w="1210" w:type="dxa"/>
            <w:gridSpan w:val="2"/>
          </w:tcPr>
          <w:p w14:paraId="6BD24AC0"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w:t>
            </w:r>
            <w:r w:rsidRPr="007E1F7D">
              <w:rPr>
                <w:b/>
                <w:sz w:val="18"/>
                <w:szCs w:val="18"/>
                <w:lang w:val="en-GB"/>
              </w:rPr>
              <w:t xml:space="preserve"> CA</w:t>
            </w:r>
          </w:p>
        </w:tc>
        <w:tc>
          <w:tcPr>
            <w:tcW w:w="1210" w:type="dxa"/>
            <w:gridSpan w:val="2"/>
          </w:tcPr>
          <w:p w14:paraId="7D8AAACC"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 CSH</w:t>
            </w:r>
          </w:p>
        </w:tc>
        <w:tc>
          <w:tcPr>
            <w:tcW w:w="1211" w:type="dxa"/>
          </w:tcPr>
          <w:p w14:paraId="4BC74879" w14:textId="77777777" w:rsidR="0014195C" w:rsidRPr="007E1F7D" w:rsidRDefault="0014195C" w:rsidP="003C1CD5">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7E1F7D">
              <w:rPr>
                <w:b/>
                <w:sz w:val="18"/>
                <w:szCs w:val="18"/>
                <w:lang w:val="en-GB"/>
              </w:rPr>
              <w:t>P (CA)</w:t>
            </w:r>
          </w:p>
        </w:tc>
      </w:tr>
      <w:tr w:rsidR="00FD5AB2" w14:paraId="2B525468" w14:textId="77777777" w:rsidTr="00611420">
        <w:trPr>
          <w:gridAfter w:val="1"/>
          <w:wAfter w:w="76"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76DEEC0A" w14:textId="77777777" w:rsidR="00FD5AB2" w:rsidRPr="001A5041" w:rsidRDefault="00FD5AB2" w:rsidP="000146E7">
            <w:pPr>
              <w:rPr>
                <w:sz w:val="18"/>
                <w:szCs w:val="18"/>
                <w:lang w:val="en-GB"/>
              </w:rPr>
            </w:pPr>
            <w:r>
              <w:rPr>
                <w:sz w:val="18"/>
                <w:szCs w:val="18"/>
                <w:lang w:val="en-GB"/>
              </w:rPr>
              <w:t>A</w:t>
            </w:r>
            <w:r w:rsidRPr="001A5041">
              <w:rPr>
                <w:sz w:val="18"/>
                <w:szCs w:val="18"/>
                <w:lang w:val="en-GB"/>
              </w:rPr>
              <w:t>rea</w:t>
            </w:r>
          </w:p>
        </w:tc>
        <w:tc>
          <w:tcPr>
            <w:tcW w:w="1210" w:type="dxa"/>
            <w:gridSpan w:val="2"/>
          </w:tcPr>
          <w:p w14:paraId="61122535" w14:textId="77777777" w:rsidR="00FD5AB2" w:rsidRPr="00471EF6" w:rsidRDefault="00FD5AB2"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394,77</w:t>
            </w:r>
          </w:p>
        </w:tc>
        <w:tc>
          <w:tcPr>
            <w:tcW w:w="1210" w:type="dxa"/>
            <w:gridSpan w:val="2"/>
          </w:tcPr>
          <w:p w14:paraId="102A398C" w14:textId="77777777" w:rsidR="00FD5AB2" w:rsidRPr="00471EF6" w:rsidRDefault="00FD5AB2"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397,48</w:t>
            </w:r>
          </w:p>
        </w:tc>
        <w:tc>
          <w:tcPr>
            <w:tcW w:w="1210" w:type="dxa"/>
            <w:gridSpan w:val="2"/>
          </w:tcPr>
          <w:p w14:paraId="3EEE7ACA" w14:textId="77777777" w:rsidR="00FD5AB2" w:rsidRPr="006C115D" w:rsidRDefault="00FD5AB2"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0,383</w:t>
            </w:r>
          </w:p>
        </w:tc>
        <w:tc>
          <w:tcPr>
            <w:tcW w:w="1210" w:type="dxa"/>
            <w:gridSpan w:val="2"/>
          </w:tcPr>
          <w:p w14:paraId="5DE9636F" w14:textId="77777777" w:rsidR="00FD5AB2" w:rsidRPr="00471EF6" w:rsidRDefault="00FD5AB2"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473,62</w:t>
            </w:r>
          </w:p>
        </w:tc>
        <w:tc>
          <w:tcPr>
            <w:tcW w:w="1210" w:type="dxa"/>
            <w:gridSpan w:val="2"/>
          </w:tcPr>
          <w:p w14:paraId="5D98812C" w14:textId="77777777" w:rsidR="00FD5AB2" w:rsidRPr="00471EF6" w:rsidRDefault="00FD5AB2"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446,04</w:t>
            </w:r>
          </w:p>
        </w:tc>
        <w:tc>
          <w:tcPr>
            <w:tcW w:w="1211" w:type="dxa"/>
          </w:tcPr>
          <w:p w14:paraId="3EA06BBF" w14:textId="77777777" w:rsidR="00FD5AB2" w:rsidRPr="006C115D" w:rsidRDefault="00FD5AB2"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0,650</w:t>
            </w:r>
          </w:p>
        </w:tc>
      </w:tr>
      <w:tr w:rsidR="00A821CE" w14:paraId="7EED6935" w14:textId="77777777" w:rsidTr="00611420">
        <w:trPr>
          <w:gridAfter w:val="1"/>
          <w:cnfStyle w:val="000000100000" w:firstRow="0" w:lastRow="0" w:firstColumn="0" w:lastColumn="0" w:oddVBand="0" w:evenVBand="0" w:oddHBand="1" w:evenHBand="0" w:firstRowFirstColumn="0" w:firstRowLastColumn="0" w:lastRowFirstColumn="0" w:lastRowLastColumn="0"/>
          <w:wAfter w:w="76"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107CE157" w14:textId="77777777" w:rsidR="00A821CE" w:rsidRPr="001A5041" w:rsidRDefault="00A821CE" w:rsidP="00431BC9">
            <w:pPr>
              <w:rPr>
                <w:sz w:val="18"/>
                <w:szCs w:val="18"/>
                <w:lang w:val="en-GB"/>
              </w:rPr>
            </w:pPr>
            <w:r>
              <w:rPr>
                <w:sz w:val="18"/>
                <w:szCs w:val="18"/>
                <w:lang w:val="en-GB"/>
              </w:rPr>
              <w:t>vBMC</w:t>
            </w:r>
          </w:p>
        </w:tc>
        <w:tc>
          <w:tcPr>
            <w:tcW w:w="1210" w:type="dxa"/>
            <w:gridSpan w:val="2"/>
          </w:tcPr>
          <w:p w14:paraId="21DD8BFE" w14:textId="77777777" w:rsidR="00A821CE" w:rsidRPr="00471EF6" w:rsidRDefault="00A821CE"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327,12</w:t>
            </w:r>
          </w:p>
        </w:tc>
        <w:tc>
          <w:tcPr>
            <w:tcW w:w="1210" w:type="dxa"/>
            <w:gridSpan w:val="2"/>
          </w:tcPr>
          <w:p w14:paraId="4B504A64" w14:textId="77777777" w:rsidR="00A821CE" w:rsidRPr="00471EF6" w:rsidRDefault="00A821CE"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332,80</w:t>
            </w:r>
          </w:p>
        </w:tc>
        <w:tc>
          <w:tcPr>
            <w:tcW w:w="1210" w:type="dxa"/>
            <w:gridSpan w:val="2"/>
          </w:tcPr>
          <w:p w14:paraId="6242C43B" w14:textId="48E1F0D6" w:rsidR="00A821CE" w:rsidRPr="006C115D" w:rsidRDefault="00A821CE"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0,002</w:t>
            </w:r>
            <w:r w:rsidR="00880463">
              <w:rPr>
                <w:i/>
                <w:sz w:val="18"/>
                <w:szCs w:val="18"/>
                <w:lang w:val="en-GB"/>
              </w:rPr>
              <w:t>*</w:t>
            </w:r>
          </w:p>
        </w:tc>
        <w:tc>
          <w:tcPr>
            <w:tcW w:w="1210" w:type="dxa"/>
            <w:gridSpan w:val="2"/>
          </w:tcPr>
          <w:p w14:paraId="366EE679" w14:textId="77777777" w:rsidR="00A821CE" w:rsidRPr="00471EF6" w:rsidRDefault="00A821CE"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347,56</w:t>
            </w:r>
          </w:p>
        </w:tc>
        <w:tc>
          <w:tcPr>
            <w:tcW w:w="1210" w:type="dxa"/>
            <w:gridSpan w:val="2"/>
          </w:tcPr>
          <w:p w14:paraId="578C7E08" w14:textId="77777777" w:rsidR="00A821CE" w:rsidRPr="00471EF6" w:rsidRDefault="00A821CE"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359,61</w:t>
            </w:r>
          </w:p>
        </w:tc>
        <w:tc>
          <w:tcPr>
            <w:tcW w:w="1211" w:type="dxa"/>
          </w:tcPr>
          <w:p w14:paraId="43CBDD16" w14:textId="13D0E611" w:rsidR="00A821CE" w:rsidRPr="006C115D" w:rsidRDefault="00A821CE"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0,012</w:t>
            </w:r>
            <w:r w:rsidR="00880463">
              <w:rPr>
                <w:i/>
                <w:sz w:val="18"/>
                <w:szCs w:val="18"/>
                <w:lang w:val="en-GB"/>
              </w:rPr>
              <w:t>*</w:t>
            </w:r>
          </w:p>
        </w:tc>
      </w:tr>
      <w:tr w:rsidR="00A821CE" w14:paraId="0DA458E8" w14:textId="77777777" w:rsidTr="00611420">
        <w:trPr>
          <w:gridAfter w:val="1"/>
          <w:wAfter w:w="76"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74EA1CBF" w14:textId="77777777" w:rsidR="00A821CE" w:rsidRPr="001A5041" w:rsidRDefault="00A821CE" w:rsidP="00431BC9">
            <w:pPr>
              <w:rPr>
                <w:sz w:val="18"/>
                <w:szCs w:val="18"/>
                <w:lang w:val="en-GB"/>
              </w:rPr>
            </w:pPr>
            <w:r>
              <w:rPr>
                <w:sz w:val="18"/>
                <w:szCs w:val="18"/>
                <w:lang w:val="en-GB"/>
              </w:rPr>
              <w:t>vBMD</w:t>
            </w:r>
          </w:p>
        </w:tc>
        <w:tc>
          <w:tcPr>
            <w:tcW w:w="1210" w:type="dxa"/>
            <w:gridSpan w:val="2"/>
          </w:tcPr>
          <w:p w14:paraId="545DCD63"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825,80</w:t>
            </w:r>
          </w:p>
        </w:tc>
        <w:tc>
          <w:tcPr>
            <w:tcW w:w="1210" w:type="dxa"/>
            <w:gridSpan w:val="2"/>
          </w:tcPr>
          <w:p w14:paraId="2D9D2E80"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838,17</w:t>
            </w:r>
          </w:p>
        </w:tc>
        <w:tc>
          <w:tcPr>
            <w:tcW w:w="1210" w:type="dxa"/>
            <w:gridSpan w:val="2"/>
          </w:tcPr>
          <w:p w14:paraId="020DAEAF" w14:textId="77777777" w:rsidR="00A821CE" w:rsidRPr="006C115D" w:rsidRDefault="00A821CE"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0,102</w:t>
            </w:r>
          </w:p>
        </w:tc>
        <w:tc>
          <w:tcPr>
            <w:tcW w:w="1210" w:type="dxa"/>
            <w:gridSpan w:val="2"/>
          </w:tcPr>
          <w:p w14:paraId="61F31C4E"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787,18</w:t>
            </w:r>
          </w:p>
        </w:tc>
        <w:tc>
          <w:tcPr>
            <w:tcW w:w="1210" w:type="dxa"/>
            <w:gridSpan w:val="2"/>
          </w:tcPr>
          <w:p w14:paraId="4691C709"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812,54</w:t>
            </w:r>
          </w:p>
        </w:tc>
        <w:tc>
          <w:tcPr>
            <w:tcW w:w="1211" w:type="dxa"/>
          </w:tcPr>
          <w:p w14:paraId="618D87EC" w14:textId="77777777" w:rsidR="00A821CE" w:rsidRPr="006C115D" w:rsidRDefault="00A821CE"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0,861</w:t>
            </w:r>
          </w:p>
        </w:tc>
      </w:tr>
      <w:tr w:rsidR="00FD5AB2" w14:paraId="2F857BA2" w14:textId="77777777" w:rsidTr="00611420">
        <w:trPr>
          <w:gridAfter w:val="1"/>
          <w:cnfStyle w:val="000000100000" w:firstRow="0" w:lastRow="0" w:firstColumn="0" w:lastColumn="0" w:oddVBand="0" w:evenVBand="0" w:oddHBand="1" w:evenHBand="0" w:firstRowFirstColumn="0" w:firstRowLastColumn="0" w:lastRowFirstColumn="0" w:lastRowLastColumn="0"/>
          <w:wAfter w:w="76" w:type="dxa"/>
        </w:trPr>
        <w:tc>
          <w:tcPr>
            <w:cnfStyle w:val="001000000000" w:firstRow="0" w:lastRow="0" w:firstColumn="1" w:lastColumn="0" w:oddVBand="0" w:evenVBand="0" w:oddHBand="0" w:evenHBand="0" w:firstRowFirstColumn="0" w:firstRowLastColumn="0" w:lastRowFirstColumn="0" w:lastRowLastColumn="0"/>
            <w:tcW w:w="9212" w:type="dxa"/>
            <w:gridSpan w:val="13"/>
          </w:tcPr>
          <w:p w14:paraId="6E2F816F" w14:textId="77777777" w:rsidR="00FD5AB2" w:rsidRDefault="00FD5AB2" w:rsidP="000146E7">
            <w:pPr>
              <w:jc w:val="center"/>
              <w:rPr>
                <w:i/>
                <w:sz w:val="18"/>
                <w:szCs w:val="18"/>
                <w:lang w:val="en-GB"/>
              </w:rPr>
            </w:pPr>
            <w:r>
              <w:rPr>
                <w:i/>
                <w:sz w:val="18"/>
                <w:szCs w:val="18"/>
                <w:lang w:val="en-GB"/>
              </w:rPr>
              <w:t>Cortex</w:t>
            </w:r>
          </w:p>
        </w:tc>
      </w:tr>
      <w:tr w:rsidR="0014195C" w:rsidRPr="007E1F7D" w14:paraId="7458BB06" w14:textId="77777777" w:rsidTr="003C1CD5">
        <w:trPr>
          <w:gridAfter w:val="1"/>
          <w:wAfter w:w="76"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1E5B2EF2" w14:textId="77777777" w:rsidR="0014195C" w:rsidRPr="007E1F7D" w:rsidRDefault="0014195C" w:rsidP="003C1CD5">
            <w:pPr>
              <w:rPr>
                <w:b w:val="0"/>
                <w:sz w:val="18"/>
                <w:szCs w:val="18"/>
                <w:lang w:val="en-GB"/>
              </w:rPr>
            </w:pPr>
            <w:r>
              <w:rPr>
                <w:b w:val="0"/>
                <w:sz w:val="18"/>
                <w:szCs w:val="18"/>
                <w:lang w:val="en-GB"/>
              </w:rPr>
              <w:t>Location</w:t>
            </w:r>
          </w:p>
        </w:tc>
        <w:tc>
          <w:tcPr>
            <w:tcW w:w="1210" w:type="dxa"/>
            <w:gridSpan w:val="2"/>
          </w:tcPr>
          <w:p w14:paraId="2B24AF57"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 L</w:t>
            </w:r>
            <w:r w:rsidRPr="007E1F7D">
              <w:rPr>
                <w:b/>
                <w:sz w:val="18"/>
                <w:szCs w:val="18"/>
                <w:lang w:val="en-GB"/>
              </w:rPr>
              <w:t xml:space="preserve"> </w:t>
            </w:r>
          </w:p>
        </w:tc>
        <w:tc>
          <w:tcPr>
            <w:tcW w:w="1210" w:type="dxa"/>
            <w:gridSpan w:val="2"/>
          </w:tcPr>
          <w:p w14:paraId="396763A3"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 xml:space="preserve">before </w:t>
            </w:r>
            <w:r w:rsidRPr="007E1F7D">
              <w:rPr>
                <w:b/>
                <w:sz w:val="18"/>
                <w:szCs w:val="18"/>
                <w:lang w:val="en-GB"/>
              </w:rPr>
              <w:t>C</w:t>
            </w:r>
            <w:r>
              <w:rPr>
                <w:b/>
                <w:sz w:val="18"/>
                <w:szCs w:val="18"/>
                <w:lang w:val="en-GB"/>
              </w:rPr>
              <w:t>SH</w:t>
            </w:r>
            <w:r w:rsidRPr="007E1F7D">
              <w:rPr>
                <w:b/>
                <w:sz w:val="18"/>
                <w:szCs w:val="18"/>
                <w:lang w:val="en-GB"/>
              </w:rPr>
              <w:t xml:space="preserve"> </w:t>
            </w:r>
          </w:p>
        </w:tc>
        <w:tc>
          <w:tcPr>
            <w:tcW w:w="1210" w:type="dxa"/>
            <w:gridSpan w:val="2"/>
          </w:tcPr>
          <w:p w14:paraId="4E66458C"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P (L)</w:t>
            </w:r>
          </w:p>
        </w:tc>
        <w:tc>
          <w:tcPr>
            <w:tcW w:w="1210" w:type="dxa"/>
            <w:gridSpan w:val="2"/>
          </w:tcPr>
          <w:p w14:paraId="4486E3D3"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w:t>
            </w:r>
            <w:r w:rsidRPr="007E1F7D">
              <w:rPr>
                <w:b/>
                <w:sz w:val="18"/>
                <w:szCs w:val="18"/>
                <w:lang w:val="en-GB"/>
              </w:rPr>
              <w:t xml:space="preserve"> CA</w:t>
            </w:r>
          </w:p>
        </w:tc>
        <w:tc>
          <w:tcPr>
            <w:tcW w:w="1210" w:type="dxa"/>
            <w:gridSpan w:val="2"/>
          </w:tcPr>
          <w:p w14:paraId="05DEF8F0"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 xml:space="preserve">Mean </w:t>
            </w:r>
            <w:r>
              <w:rPr>
                <w:b/>
                <w:sz w:val="18"/>
                <w:szCs w:val="18"/>
                <w:lang w:val="en-GB"/>
              </w:rPr>
              <w:t>before CSH</w:t>
            </w:r>
          </w:p>
        </w:tc>
        <w:tc>
          <w:tcPr>
            <w:tcW w:w="1211" w:type="dxa"/>
          </w:tcPr>
          <w:p w14:paraId="5600B626" w14:textId="77777777" w:rsidR="0014195C" w:rsidRPr="007E1F7D" w:rsidRDefault="0014195C" w:rsidP="003C1CD5">
            <w:pPr>
              <w:jc w:val="center"/>
              <w:cnfStyle w:val="000000000000" w:firstRow="0" w:lastRow="0" w:firstColumn="0" w:lastColumn="0" w:oddVBand="0" w:evenVBand="0" w:oddHBand="0" w:evenHBand="0" w:firstRowFirstColumn="0" w:firstRowLastColumn="0" w:lastRowFirstColumn="0" w:lastRowLastColumn="0"/>
              <w:rPr>
                <w:b/>
                <w:sz w:val="18"/>
                <w:szCs w:val="18"/>
                <w:lang w:val="en-GB"/>
              </w:rPr>
            </w:pPr>
            <w:r w:rsidRPr="007E1F7D">
              <w:rPr>
                <w:b/>
                <w:sz w:val="18"/>
                <w:szCs w:val="18"/>
                <w:lang w:val="en-GB"/>
              </w:rPr>
              <w:t>P (CA)</w:t>
            </w:r>
          </w:p>
        </w:tc>
      </w:tr>
      <w:tr w:rsidR="00FD5AB2" w14:paraId="0473D800" w14:textId="77777777" w:rsidTr="00611420">
        <w:trPr>
          <w:gridAfter w:val="1"/>
          <w:cnfStyle w:val="000000100000" w:firstRow="0" w:lastRow="0" w:firstColumn="0" w:lastColumn="0" w:oddVBand="0" w:evenVBand="0" w:oddHBand="1" w:evenHBand="0" w:firstRowFirstColumn="0" w:firstRowLastColumn="0" w:lastRowFirstColumn="0" w:lastRowLastColumn="0"/>
          <w:wAfter w:w="76"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24CA1EAC" w14:textId="77777777" w:rsidR="00FD5AB2" w:rsidRPr="001A5041" w:rsidRDefault="00FD5AB2" w:rsidP="000146E7">
            <w:pPr>
              <w:rPr>
                <w:sz w:val="18"/>
                <w:szCs w:val="18"/>
                <w:lang w:val="en-GB"/>
              </w:rPr>
            </w:pPr>
            <w:r>
              <w:rPr>
                <w:sz w:val="18"/>
                <w:szCs w:val="18"/>
                <w:lang w:val="en-GB"/>
              </w:rPr>
              <w:t>Area</w:t>
            </w:r>
          </w:p>
        </w:tc>
        <w:tc>
          <w:tcPr>
            <w:tcW w:w="1210" w:type="dxa"/>
            <w:gridSpan w:val="2"/>
          </w:tcPr>
          <w:p w14:paraId="7907766F"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254,98</w:t>
            </w:r>
          </w:p>
        </w:tc>
        <w:tc>
          <w:tcPr>
            <w:tcW w:w="1210" w:type="dxa"/>
            <w:gridSpan w:val="2"/>
          </w:tcPr>
          <w:p w14:paraId="2E578B3E"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259,75</w:t>
            </w:r>
          </w:p>
        </w:tc>
        <w:tc>
          <w:tcPr>
            <w:tcW w:w="1210" w:type="dxa"/>
            <w:gridSpan w:val="2"/>
          </w:tcPr>
          <w:p w14:paraId="6F859A5E" w14:textId="7791F867" w:rsidR="00FD5AB2" w:rsidRPr="006C115D" w:rsidRDefault="00FD5AB2"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0,002</w:t>
            </w:r>
            <w:r w:rsidR="00880463">
              <w:rPr>
                <w:i/>
                <w:sz w:val="18"/>
                <w:szCs w:val="18"/>
                <w:lang w:val="en-GB"/>
              </w:rPr>
              <w:t>*</w:t>
            </w:r>
          </w:p>
        </w:tc>
        <w:tc>
          <w:tcPr>
            <w:tcW w:w="1210" w:type="dxa"/>
            <w:gridSpan w:val="2"/>
          </w:tcPr>
          <w:p w14:paraId="738007F9"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268,10</w:t>
            </w:r>
          </w:p>
        </w:tc>
        <w:tc>
          <w:tcPr>
            <w:tcW w:w="1210" w:type="dxa"/>
            <w:gridSpan w:val="2"/>
          </w:tcPr>
          <w:p w14:paraId="11BED72B"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282,77</w:t>
            </w:r>
          </w:p>
        </w:tc>
        <w:tc>
          <w:tcPr>
            <w:tcW w:w="1211" w:type="dxa"/>
          </w:tcPr>
          <w:p w14:paraId="61513BE6" w14:textId="77777777" w:rsidR="00FD5AB2" w:rsidRPr="006C115D" w:rsidRDefault="00FD5AB2"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0,724</w:t>
            </w:r>
          </w:p>
        </w:tc>
      </w:tr>
      <w:tr w:rsidR="00A821CE" w14:paraId="043B7594" w14:textId="77777777" w:rsidTr="00611420">
        <w:trPr>
          <w:gridAfter w:val="1"/>
          <w:wAfter w:w="76"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6B322BA0" w14:textId="77777777" w:rsidR="00A821CE" w:rsidRPr="001A5041" w:rsidRDefault="00A821CE" w:rsidP="00431BC9">
            <w:pPr>
              <w:rPr>
                <w:sz w:val="18"/>
                <w:szCs w:val="18"/>
                <w:lang w:val="en-GB"/>
              </w:rPr>
            </w:pPr>
            <w:r>
              <w:rPr>
                <w:sz w:val="18"/>
                <w:szCs w:val="18"/>
                <w:lang w:val="en-GB"/>
              </w:rPr>
              <w:t>vBMC</w:t>
            </w:r>
          </w:p>
        </w:tc>
        <w:tc>
          <w:tcPr>
            <w:tcW w:w="1210" w:type="dxa"/>
            <w:gridSpan w:val="2"/>
          </w:tcPr>
          <w:p w14:paraId="7EC078BB"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295,99</w:t>
            </w:r>
          </w:p>
        </w:tc>
        <w:tc>
          <w:tcPr>
            <w:tcW w:w="1210" w:type="dxa"/>
            <w:gridSpan w:val="2"/>
          </w:tcPr>
          <w:p w14:paraId="38E49572"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301,18</w:t>
            </w:r>
          </w:p>
        </w:tc>
        <w:tc>
          <w:tcPr>
            <w:tcW w:w="1210" w:type="dxa"/>
            <w:gridSpan w:val="2"/>
          </w:tcPr>
          <w:p w14:paraId="34460577" w14:textId="77777777" w:rsidR="00A821CE" w:rsidRPr="006C115D" w:rsidRDefault="00A821CE"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0,018</w:t>
            </w:r>
          </w:p>
        </w:tc>
        <w:tc>
          <w:tcPr>
            <w:tcW w:w="1210" w:type="dxa"/>
            <w:gridSpan w:val="2"/>
          </w:tcPr>
          <w:p w14:paraId="7D4C71E8"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298,91</w:t>
            </w:r>
          </w:p>
        </w:tc>
        <w:tc>
          <w:tcPr>
            <w:tcW w:w="1210" w:type="dxa"/>
            <w:gridSpan w:val="2"/>
          </w:tcPr>
          <w:p w14:paraId="78BABCA6"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321,28</w:t>
            </w:r>
          </w:p>
        </w:tc>
        <w:tc>
          <w:tcPr>
            <w:tcW w:w="1211" w:type="dxa"/>
          </w:tcPr>
          <w:p w14:paraId="2EE437BF" w14:textId="5F69E223" w:rsidR="00A821CE" w:rsidRPr="006C115D" w:rsidRDefault="00A821CE"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0,028</w:t>
            </w:r>
            <w:r w:rsidR="00880463">
              <w:rPr>
                <w:i/>
                <w:sz w:val="18"/>
                <w:szCs w:val="18"/>
                <w:lang w:val="en-GB"/>
              </w:rPr>
              <w:t>*</w:t>
            </w:r>
          </w:p>
        </w:tc>
      </w:tr>
      <w:tr w:rsidR="00A821CE" w14:paraId="2E98382B" w14:textId="77777777" w:rsidTr="00611420">
        <w:trPr>
          <w:gridAfter w:val="1"/>
          <w:cnfStyle w:val="000000100000" w:firstRow="0" w:lastRow="0" w:firstColumn="0" w:lastColumn="0" w:oddVBand="0" w:evenVBand="0" w:oddHBand="1" w:evenHBand="0" w:firstRowFirstColumn="0" w:firstRowLastColumn="0" w:lastRowFirstColumn="0" w:lastRowLastColumn="0"/>
          <w:wAfter w:w="76"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781A6469" w14:textId="77777777" w:rsidR="00A821CE" w:rsidRPr="001A5041" w:rsidRDefault="00A821CE" w:rsidP="00431BC9">
            <w:pPr>
              <w:rPr>
                <w:sz w:val="18"/>
                <w:szCs w:val="18"/>
                <w:lang w:val="en-GB"/>
              </w:rPr>
            </w:pPr>
            <w:r>
              <w:rPr>
                <w:sz w:val="18"/>
                <w:szCs w:val="18"/>
                <w:lang w:val="en-GB"/>
              </w:rPr>
              <w:t>vBMD</w:t>
            </w:r>
          </w:p>
        </w:tc>
        <w:tc>
          <w:tcPr>
            <w:tcW w:w="1210" w:type="dxa"/>
            <w:gridSpan w:val="2"/>
          </w:tcPr>
          <w:p w14:paraId="278B1272" w14:textId="77777777" w:rsidR="00A821CE" w:rsidRPr="00471EF6" w:rsidRDefault="00A821CE"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1160,49</w:t>
            </w:r>
          </w:p>
        </w:tc>
        <w:tc>
          <w:tcPr>
            <w:tcW w:w="1210" w:type="dxa"/>
            <w:gridSpan w:val="2"/>
          </w:tcPr>
          <w:p w14:paraId="1D4F7476" w14:textId="77777777" w:rsidR="00A821CE" w:rsidRPr="00471EF6" w:rsidRDefault="00A821CE"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1161,62</w:t>
            </w:r>
          </w:p>
        </w:tc>
        <w:tc>
          <w:tcPr>
            <w:tcW w:w="1210" w:type="dxa"/>
            <w:gridSpan w:val="2"/>
          </w:tcPr>
          <w:p w14:paraId="0C338C91" w14:textId="77777777" w:rsidR="00A821CE" w:rsidRPr="006C115D" w:rsidRDefault="00A821CE"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0,643</w:t>
            </w:r>
          </w:p>
        </w:tc>
        <w:tc>
          <w:tcPr>
            <w:tcW w:w="1210" w:type="dxa"/>
            <w:gridSpan w:val="2"/>
          </w:tcPr>
          <w:p w14:paraId="30A444E8" w14:textId="77777777" w:rsidR="00A821CE" w:rsidRPr="00471EF6" w:rsidRDefault="00A821CE"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1094,96</w:t>
            </w:r>
          </w:p>
        </w:tc>
        <w:tc>
          <w:tcPr>
            <w:tcW w:w="1210" w:type="dxa"/>
            <w:gridSpan w:val="2"/>
          </w:tcPr>
          <w:p w14:paraId="28F454E5" w14:textId="77777777" w:rsidR="00A821CE" w:rsidRPr="00471EF6" w:rsidRDefault="00A821CE"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1135,10</w:t>
            </w:r>
          </w:p>
        </w:tc>
        <w:tc>
          <w:tcPr>
            <w:tcW w:w="1211" w:type="dxa"/>
          </w:tcPr>
          <w:p w14:paraId="40699C26" w14:textId="67DEBC9F" w:rsidR="00A821CE" w:rsidRPr="006C115D" w:rsidRDefault="00A821CE"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0,013</w:t>
            </w:r>
            <w:r w:rsidR="009C69A0">
              <w:rPr>
                <w:i/>
                <w:sz w:val="18"/>
                <w:szCs w:val="18"/>
                <w:lang w:val="en-GB"/>
              </w:rPr>
              <w:t>*</w:t>
            </w:r>
          </w:p>
        </w:tc>
      </w:tr>
      <w:tr w:rsidR="00B771FB" w14:paraId="0BB41C39" w14:textId="77777777" w:rsidTr="008204AE">
        <w:trPr>
          <w:gridAfter w:val="1"/>
          <w:wAfter w:w="76"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182DFD50" w14:textId="77777777" w:rsidR="00B771FB" w:rsidRDefault="00B771FB" w:rsidP="008204AE">
            <w:pPr>
              <w:rPr>
                <w:sz w:val="18"/>
                <w:szCs w:val="18"/>
                <w:lang w:val="en-GB"/>
              </w:rPr>
            </w:pPr>
            <w:r>
              <w:rPr>
                <w:sz w:val="18"/>
                <w:szCs w:val="18"/>
                <w:lang w:val="en-GB"/>
              </w:rPr>
              <w:t xml:space="preserve">Z-scores: vBMD </w:t>
            </w:r>
          </w:p>
        </w:tc>
        <w:tc>
          <w:tcPr>
            <w:tcW w:w="1210" w:type="dxa"/>
            <w:gridSpan w:val="2"/>
          </w:tcPr>
          <w:p w14:paraId="375B9472" w14:textId="77777777" w:rsidR="00B771FB" w:rsidRDefault="00B771FB" w:rsidP="008204AE">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0,787</w:t>
            </w:r>
          </w:p>
        </w:tc>
        <w:tc>
          <w:tcPr>
            <w:tcW w:w="1210" w:type="dxa"/>
            <w:gridSpan w:val="2"/>
          </w:tcPr>
          <w:p w14:paraId="4F5A9D99" w14:textId="77777777" w:rsidR="00B771FB" w:rsidRDefault="00B771FB" w:rsidP="008204AE">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0,488</w:t>
            </w:r>
          </w:p>
        </w:tc>
        <w:tc>
          <w:tcPr>
            <w:tcW w:w="1210" w:type="dxa"/>
            <w:gridSpan w:val="2"/>
          </w:tcPr>
          <w:p w14:paraId="625CDBA9" w14:textId="77777777" w:rsidR="00B771FB" w:rsidRDefault="00B771FB" w:rsidP="008204AE">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&lt;0,001*</w:t>
            </w:r>
          </w:p>
        </w:tc>
        <w:tc>
          <w:tcPr>
            <w:tcW w:w="1210" w:type="dxa"/>
            <w:gridSpan w:val="2"/>
          </w:tcPr>
          <w:p w14:paraId="1F63BD82" w14:textId="77777777" w:rsidR="00B771FB" w:rsidRDefault="00B771FB" w:rsidP="008204AE">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0,622</w:t>
            </w:r>
          </w:p>
        </w:tc>
        <w:tc>
          <w:tcPr>
            <w:tcW w:w="1210" w:type="dxa"/>
            <w:gridSpan w:val="2"/>
          </w:tcPr>
          <w:p w14:paraId="5069F945" w14:textId="77777777" w:rsidR="00B771FB" w:rsidRDefault="00B771FB" w:rsidP="008204AE">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0,581</w:t>
            </w:r>
          </w:p>
        </w:tc>
        <w:tc>
          <w:tcPr>
            <w:tcW w:w="1211" w:type="dxa"/>
          </w:tcPr>
          <w:p w14:paraId="0C8CAC21" w14:textId="77777777" w:rsidR="00B771FB" w:rsidRDefault="00B771FB" w:rsidP="008204AE">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0,870</w:t>
            </w:r>
          </w:p>
        </w:tc>
      </w:tr>
      <w:tr w:rsidR="00FD5AB2" w14:paraId="28A043C8" w14:textId="77777777" w:rsidTr="00611420">
        <w:trPr>
          <w:gridAfter w:val="1"/>
          <w:cnfStyle w:val="000000100000" w:firstRow="0" w:lastRow="0" w:firstColumn="0" w:lastColumn="0" w:oddVBand="0" w:evenVBand="0" w:oddHBand="1" w:evenHBand="0" w:firstRowFirstColumn="0" w:firstRowLastColumn="0" w:lastRowFirstColumn="0" w:lastRowLastColumn="0"/>
          <w:wAfter w:w="76"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20AFA5B6" w14:textId="77777777" w:rsidR="00FD5AB2" w:rsidRDefault="00A821CE" w:rsidP="00A821CE">
            <w:pPr>
              <w:rPr>
                <w:sz w:val="18"/>
                <w:szCs w:val="18"/>
                <w:lang w:val="en-GB"/>
              </w:rPr>
            </w:pPr>
            <w:r>
              <w:rPr>
                <w:sz w:val="18"/>
                <w:szCs w:val="18"/>
                <w:lang w:val="en-GB"/>
              </w:rPr>
              <w:t>Cortical t</w:t>
            </w:r>
            <w:r w:rsidR="00FD5AB2">
              <w:rPr>
                <w:sz w:val="18"/>
                <w:szCs w:val="18"/>
                <w:lang w:val="en-GB"/>
              </w:rPr>
              <w:t>hickness</w:t>
            </w:r>
          </w:p>
        </w:tc>
        <w:tc>
          <w:tcPr>
            <w:tcW w:w="1210" w:type="dxa"/>
            <w:gridSpan w:val="2"/>
          </w:tcPr>
          <w:p w14:paraId="0D74F3AA"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4,530</w:t>
            </w:r>
          </w:p>
        </w:tc>
        <w:tc>
          <w:tcPr>
            <w:tcW w:w="1210" w:type="dxa"/>
            <w:gridSpan w:val="2"/>
          </w:tcPr>
          <w:p w14:paraId="5AB46B3E"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4,629</w:t>
            </w:r>
          </w:p>
        </w:tc>
        <w:tc>
          <w:tcPr>
            <w:tcW w:w="1210" w:type="dxa"/>
            <w:gridSpan w:val="2"/>
          </w:tcPr>
          <w:p w14:paraId="568302FD" w14:textId="77777777" w:rsidR="00FD5AB2" w:rsidRPr="006C115D" w:rsidRDefault="00FD5AB2"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0,055</w:t>
            </w:r>
          </w:p>
        </w:tc>
        <w:tc>
          <w:tcPr>
            <w:tcW w:w="1210" w:type="dxa"/>
            <w:gridSpan w:val="2"/>
          </w:tcPr>
          <w:p w14:paraId="7B16791A"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4,637</w:t>
            </w:r>
          </w:p>
        </w:tc>
        <w:tc>
          <w:tcPr>
            <w:tcW w:w="1210" w:type="dxa"/>
            <w:gridSpan w:val="2"/>
          </w:tcPr>
          <w:p w14:paraId="2830C871" w14:textId="77777777" w:rsidR="00FD5AB2" w:rsidRPr="00471EF6" w:rsidRDefault="00FD5AB2" w:rsidP="000146E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4,764</w:t>
            </w:r>
          </w:p>
        </w:tc>
        <w:tc>
          <w:tcPr>
            <w:tcW w:w="1211" w:type="dxa"/>
          </w:tcPr>
          <w:p w14:paraId="72866366" w14:textId="77777777" w:rsidR="00FD5AB2" w:rsidRPr="006C115D" w:rsidRDefault="00FD5AB2" w:rsidP="000146E7">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0,421</w:t>
            </w:r>
          </w:p>
        </w:tc>
      </w:tr>
      <w:tr w:rsidR="00A821CE" w14:paraId="15302818" w14:textId="77777777" w:rsidTr="00611420">
        <w:trPr>
          <w:gridAfter w:val="1"/>
          <w:wAfter w:w="76"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27550FB9" w14:textId="77777777" w:rsidR="00A821CE" w:rsidRPr="001A5041" w:rsidRDefault="00A821CE" w:rsidP="00431BC9">
            <w:pPr>
              <w:rPr>
                <w:sz w:val="18"/>
                <w:szCs w:val="18"/>
                <w:lang w:val="en-GB"/>
              </w:rPr>
            </w:pPr>
            <w:r>
              <w:rPr>
                <w:sz w:val="18"/>
                <w:szCs w:val="18"/>
                <w:lang w:val="en-GB"/>
              </w:rPr>
              <w:t>Circumference: periost</w:t>
            </w:r>
          </w:p>
        </w:tc>
        <w:tc>
          <w:tcPr>
            <w:tcW w:w="1210" w:type="dxa"/>
            <w:gridSpan w:val="2"/>
          </w:tcPr>
          <w:p w14:paraId="0548EB4D"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70,473</w:t>
            </w:r>
          </w:p>
        </w:tc>
        <w:tc>
          <w:tcPr>
            <w:tcW w:w="1210" w:type="dxa"/>
            <w:gridSpan w:val="2"/>
          </w:tcPr>
          <w:p w14:paraId="59779A33"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70,540</w:t>
            </w:r>
          </w:p>
        </w:tc>
        <w:tc>
          <w:tcPr>
            <w:tcW w:w="1210" w:type="dxa"/>
            <w:gridSpan w:val="2"/>
          </w:tcPr>
          <w:p w14:paraId="5C637D54" w14:textId="77777777" w:rsidR="00A821CE" w:rsidRPr="006C115D" w:rsidRDefault="00A821CE"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0,705</w:t>
            </w:r>
          </w:p>
        </w:tc>
        <w:tc>
          <w:tcPr>
            <w:tcW w:w="1210" w:type="dxa"/>
            <w:gridSpan w:val="2"/>
          </w:tcPr>
          <w:p w14:paraId="6FCBE172"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76,304</w:t>
            </w:r>
          </w:p>
        </w:tc>
        <w:tc>
          <w:tcPr>
            <w:tcW w:w="1210" w:type="dxa"/>
            <w:gridSpan w:val="2"/>
          </w:tcPr>
          <w:p w14:paraId="7B94BBC3"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74,722</w:t>
            </w:r>
          </w:p>
        </w:tc>
        <w:tc>
          <w:tcPr>
            <w:tcW w:w="1211" w:type="dxa"/>
          </w:tcPr>
          <w:p w14:paraId="13F410AB" w14:textId="77777777" w:rsidR="00A821CE" w:rsidRPr="006C115D" w:rsidRDefault="00A821CE"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0,650</w:t>
            </w:r>
          </w:p>
        </w:tc>
      </w:tr>
      <w:tr w:rsidR="007A7E5E" w14:paraId="2D2C9B24" w14:textId="77777777" w:rsidTr="008204AE">
        <w:trPr>
          <w:gridAfter w:val="1"/>
          <w:cnfStyle w:val="000000100000" w:firstRow="0" w:lastRow="0" w:firstColumn="0" w:lastColumn="0" w:oddVBand="0" w:evenVBand="0" w:oddHBand="1" w:evenHBand="0" w:firstRowFirstColumn="0" w:firstRowLastColumn="0" w:lastRowFirstColumn="0" w:lastRowLastColumn="0"/>
          <w:wAfter w:w="76"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2C92C115" w14:textId="1D574F26" w:rsidR="007A7E5E" w:rsidRDefault="00E04B7C" w:rsidP="00E04B7C">
            <w:pPr>
              <w:rPr>
                <w:sz w:val="18"/>
                <w:szCs w:val="18"/>
                <w:lang w:val="en-GB"/>
              </w:rPr>
            </w:pPr>
            <w:r>
              <w:rPr>
                <w:sz w:val="18"/>
                <w:szCs w:val="18"/>
                <w:lang w:val="en-GB"/>
              </w:rPr>
              <w:t xml:space="preserve">Z-scores: </w:t>
            </w:r>
            <w:r w:rsidR="007A7E5E">
              <w:rPr>
                <w:sz w:val="18"/>
                <w:szCs w:val="18"/>
                <w:lang w:val="en-GB"/>
              </w:rPr>
              <w:t xml:space="preserve">Periost cir </w:t>
            </w:r>
          </w:p>
        </w:tc>
        <w:tc>
          <w:tcPr>
            <w:tcW w:w="1210" w:type="dxa"/>
            <w:gridSpan w:val="2"/>
          </w:tcPr>
          <w:p w14:paraId="150602D8" w14:textId="77777777" w:rsidR="007A7E5E" w:rsidRDefault="007A7E5E" w:rsidP="008204A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-0,014</w:t>
            </w:r>
          </w:p>
        </w:tc>
        <w:tc>
          <w:tcPr>
            <w:tcW w:w="1210" w:type="dxa"/>
            <w:gridSpan w:val="2"/>
          </w:tcPr>
          <w:p w14:paraId="22A7E57F" w14:textId="77777777" w:rsidR="007A7E5E" w:rsidRDefault="007A7E5E" w:rsidP="008204A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-0,132</w:t>
            </w:r>
          </w:p>
        </w:tc>
        <w:tc>
          <w:tcPr>
            <w:tcW w:w="1210" w:type="dxa"/>
            <w:gridSpan w:val="2"/>
          </w:tcPr>
          <w:p w14:paraId="1E1C087D" w14:textId="77777777" w:rsidR="007A7E5E" w:rsidRDefault="007A7E5E" w:rsidP="008204AE">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0,230</w:t>
            </w:r>
          </w:p>
        </w:tc>
        <w:tc>
          <w:tcPr>
            <w:tcW w:w="1210" w:type="dxa"/>
            <w:gridSpan w:val="2"/>
          </w:tcPr>
          <w:p w14:paraId="347E6499" w14:textId="77777777" w:rsidR="007A7E5E" w:rsidRDefault="007A7E5E" w:rsidP="008204A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-1,577</w:t>
            </w:r>
          </w:p>
        </w:tc>
        <w:tc>
          <w:tcPr>
            <w:tcW w:w="1210" w:type="dxa"/>
            <w:gridSpan w:val="2"/>
          </w:tcPr>
          <w:p w14:paraId="6FE61C78" w14:textId="77777777" w:rsidR="007A7E5E" w:rsidRDefault="007A7E5E" w:rsidP="008204A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-2,046</w:t>
            </w:r>
          </w:p>
        </w:tc>
        <w:tc>
          <w:tcPr>
            <w:tcW w:w="1211" w:type="dxa"/>
          </w:tcPr>
          <w:p w14:paraId="69DF0E18" w14:textId="77777777" w:rsidR="007A7E5E" w:rsidRDefault="007A7E5E" w:rsidP="008204AE">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0,102</w:t>
            </w:r>
          </w:p>
        </w:tc>
      </w:tr>
      <w:tr w:rsidR="00A821CE" w14:paraId="32FDC851" w14:textId="77777777" w:rsidTr="00611420">
        <w:trPr>
          <w:gridAfter w:val="1"/>
          <w:wAfter w:w="76"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737EEE7E" w14:textId="77777777" w:rsidR="00A821CE" w:rsidRPr="001A5041" w:rsidRDefault="00A821CE" w:rsidP="00431BC9">
            <w:pPr>
              <w:rPr>
                <w:sz w:val="18"/>
                <w:szCs w:val="18"/>
                <w:lang w:val="en-GB"/>
              </w:rPr>
            </w:pPr>
            <w:r>
              <w:rPr>
                <w:sz w:val="18"/>
                <w:szCs w:val="18"/>
                <w:lang w:val="en-GB"/>
              </w:rPr>
              <w:t xml:space="preserve">Endost </w:t>
            </w:r>
          </w:p>
        </w:tc>
        <w:tc>
          <w:tcPr>
            <w:tcW w:w="1210" w:type="dxa"/>
            <w:gridSpan w:val="2"/>
          </w:tcPr>
          <w:p w14:paraId="67904671"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42,011</w:t>
            </w:r>
          </w:p>
        </w:tc>
        <w:tc>
          <w:tcPr>
            <w:tcW w:w="1210" w:type="dxa"/>
            <w:gridSpan w:val="2"/>
          </w:tcPr>
          <w:p w14:paraId="24EB41D5"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41,453</w:t>
            </w:r>
          </w:p>
        </w:tc>
        <w:tc>
          <w:tcPr>
            <w:tcW w:w="1210" w:type="dxa"/>
            <w:gridSpan w:val="2"/>
          </w:tcPr>
          <w:p w14:paraId="7049479E" w14:textId="77777777" w:rsidR="00A821CE" w:rsidRPr="006C115D" w:rsidRDefault="00A821CE"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0,210</w:t>
            </w:r>
          </w:p>
        </w:tc>
        <w:tc>
          <w:tcPr>
            <w:tcW w:w="1210" w:type="dxa"/>
            <w:gridSpan w:val="2"/>
          </w:tcPr>
          <w:p w14:paraId="464D5DED"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47,168</w:t>
            </w:r>
          </w:p>
        </w:tc>
        <w:tc>
          <w:tcPr>
            <w:tcW w:w="1210" w:type="dxa"/>
            <w:gridSpan w:val="2"/>
          </w:tcPr>
          <w:p w14:paraId="21192BBC" w14:textId="77777777" w:rsidR="00A821CE" w:rsidRPr="00471EF6" w:rsidRDefault="00A821CE" w:rsidP="000146E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44,786</w:t>
            </w:r>
          </w:p>
        </w:tc>
        <w:tc>
          <w:tcPr>
            <w:tcW w:w="1211" w:type="dxa"/>
          </w:tcPr>
          <w:p w14:paraId="5DAF8E95" w14:textId="77777777" w:rsidR="00A821CE" w:rsidRPr="006C115D" w:rsidRDefault="00A821CE" w:rsidP="000146E7">
            <w:pPr>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Pr>
                <w:i/>
                <w:sz w:val="18"/>
                <w:szCs w:val="18"/>
                <w:lang w:val="en-GB"/>
              </w:rPr>
              <w:t>0,463</w:t>
            </w:r>
          </w:p>
        </w:tc>
      </w:tr>
      <w:tr w:rsidR="007A7E5E" w14:paraId="3F658E5A" w14:textId="77777777" w:rsidTr="008204AE">
        <w:trPr>
          <w:gridAfter w:val="1"/>
          <w:cnfStyle w:val="000000100000" w:firstRow="0" w:lastRow="0" w:firstColumn="0" w:lastColumn="0" w:oddVBand="0" w:evenVBand="0" w:oddHBand="1" w:evenHBand="0" w:firstRowFirstColumn="0" w:firstRowLastColumn="0" w:lastRowFirstColumn="0" w:lastRowLastColumn="0"/>
          <w:wAfter w:w="76"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3AB8D09E" w14:textId="10960AAB" w:rsidR="007A7E5E" w:rsidRDefault="00E04B7C" w:rsidP="00E04B7C">
            <w:pPr>
              <w:rPr>
                <w:sz w:val="18"/>
                <w:szCs w:val="18"/>
                <w:lang w:val="en-GB"/>
              </w:rPr>
            </w:pPr>
            <w:r>
              <w:rPr>
                <w:sz w:val="18"/>
                <w:szCs w:val="18"/>
                <w:lang w:val="en-GB"/>
              </w:rPr>
              <w:t xml:space="preserve">Z-scores: </w:t>
            </w:r>
            <w:r w:rsidR="007A7E5E">
              <w:rPr>
                <w:sz w:val="18"/>
                <w:szCs w:val="18"/>
                <w:lang w:val="en-GB"/>
              </w:rPr>
              <w:t>Endost cir</w:t>
            </w:r>
          </w:p>
        </w:tc>
        <w:tc>
          <w:tcPr>
            <w:tcW w:w="1210" w:type="dxa"/>
            <w:gridSpan w:val="2"/>
          </w:tcPr>
          <w:p w14:paraId="5F281AC2" w14:textId="77777777" w:rsidR="007A7E5E" w:rsidRDefault="007A7E5E" w:rsidP="008204A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-0,229</w:t>
            </w:r>
          </w:p>
        </w:tc>
        <w:tc>
          <w:tcPr>
            <w:tcW w:w="1210" w:type="dxa"/>
            <w:gridSpan w:val="2"/>
          </w:tcPr>
          <w:p w14:paraId="20976AC2" w14:textId="77777777" w:rsidR="007A7E5E" w:rsidRDefault="007A7E5E" w:rsidP="008204A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-0,346</w:t>
            </w:r>
          </w:p>
        </w:tc>
        <w:tc>
          <w:tcPr>
            <w:tcW w:w="1210" w:type="dxa"/>
            <w:gridSpan w:val="2"/>
          </w:tcPr>
          <w:p w14:paraId="6BE745A1" w14:textId="77777777" w:rsidR="007A7E5E" w:rsidRDefault="007A7E5E" w:rsidP="008204AE">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0,163</w:t>
            </w:r>
          </w:p>
        </w:tc>
        <w:tc>
          <w:tcPr>
            <w:tcW w:w="1210" w:type="dxa"/>
            <w:gridSpan w:val="2"/>
          </w:tcPr>
          <w:p w14:paraId="22671153" w14:textId="77777777" w:rsidR="007A7E5E" w:rsidRDefault="007A7E5E" w:rsidP="008204A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-1,033</w:t>
            </w:r>
          </w:p>
        </w:tc>
        <w:tc>
          <w:tcPr>
            <w:tcW w:w="1210" w:type="dxa"/>
            <w:gridSpan w:val="2"/>
          </w:tcPr>
          <w:p w14:paraId="67105CEA" w14:textId="77777777" w:rsidR="007A7E5E" w:rsidRDefault="007A7E5E" w:rsidP="008204A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-0,653</w:t>
            </w:r>
          </w:p>
        </w:tc>
        <w:tc>
          <w:tcPr>
            <w:tcW w:w="1211" w:type="dxa"/>
          </w:tcPr>
          <w:p w14:paraId="79C96CF3" w14:textId="77777777" w:rsidR="007A7E5E" w:rsidRDefault="007A7E5E" w:rsidP="008204AE">
            <w:pPr>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Pr>
                <w:i/>
                <w:sz w:val="18"/>
                <w:szCs w:val="18"/>
                <w:lang w:val="en-GB"/>
              </w:rPr>
              <w:t>0,211</w:t>
            </w:r>
          </w:p>
        </w:tc>
      </w:tr>
    </w:tbl>
    <w:p w14:paraId="38B5532B" w14:textId="6EC04803" w:rsidR="00297D57" w:rsidRPr="005B714E" w:rsidRDefault="00341F7A" w:rsidP="003058FE">
      <w:pPr>
        <w:spacing w:after="0" w:line="240" w:lineRule="auto"/>
        <w:jc w:val="both"/>
        <w:rPr>
          <w:lang w:val="en-GB"/>
        </w:rPr>
      </w:pPr>
      <w:r>
        <w:rPr>
          <w:sz w:val="18"/>
          <w:szCs w:val="18"/>
          <w:lang w:val="en-US"/>
        </w:rPr>
        <w:t xml:space="preserve">Mean before L/CA: baseline; Mean before CSH: mean levels before start CSH; P (L/CA): results of statistical tests; </w:t>
      </w:r>
      <w:r w:rsidR="00E82B52">
        <w:rPr>
          <w:sz w:val="18"/>
          <w:szCs w:val="18"/>
          <w:lang w:val="en-US"/>
        </w:rPr>
        <w:t>vBMC: volumetric bone mineral content; vBMD: volumetric bone mineral density</w:t>
      </w:r>
      <w:r>
        <w:rPr>
          <w:sz w:val="18"/>
          <w:szCs w:val="18"/>
          <w:lang w:val="en-US"/>
        </w:rPr>
        <w:t>;</w:t>
      </w:r>
      <w:r w:rsidR="00E82B52">
        <w:rPr>
          <w:sz w:val="18"/>
          <w:szCs w:val="18"/>
          <w:lang w:val="en-US"/>
        </w:rPr>
        <w:t xml:space="preserve"> cir: circumference;</w:t>
      </w:r>
      <w:r w:rsidR="00837D02">
        <w:rPr>
          <w:sz w:val="18"/>
          <w:szCs w:val="18"/>
          <w:lang w:val="en-US"/>
        </w:rPr>
        <w:t xml:space="preserve"> SSI: strength strain index;</w:t>
      </w:r>
      <w:r w:rsidR="00E82B52">
        <w:rPr>
          <w:sz w:val="18"/>
          <w:szCs w:val="18"/>
          <w:lang w:val="en-US"/>
        </w:rPr>
        <w:t xml:space="preserve"> L: lynes</w:t>
      </w:r>
      <w:r>
        <w:rPr>
          <w:sz w:val="18"/>
          <w:szCs w:val="18"/>
          <w:lang w:val="en-US"/>
        </w:rPr>
        <w:t xml:space="preserve">trenol; CA: cyproterone acetate; </w:t>
      </w:r>
      <w:r w:rsidR="00880463" w:rsidRPr="005B714E">
        <w:rPr>
          <w:sz w:val="18"/>
          <w:szCs w:val="18"/>
          <w:lang w:val="en-US"/>
        </w:rPr>
        <w:t>*: statistical significant result</w:t>
      </w:r>
      <w:r>
        <w:rPr>
          <w:sz w:val="18"/>
          <w:szCs w:val="18"/>
          <w:lang w:val="en-US"/>
        </w:rPr>
        <w:t>.</w:t>
      </w:r>
    </w:p>
    <w:p w14:paraId="0FA73848" w14:textId="77777777" w:rsidR="007A7E5E" w:rsidRDefault="007A7E5E">
      <w:pPr>
        <w:rPr>
          <w:rFonts w:asciiTheme="majorHAnsi" w:eastAsiaTheme="majorEastAsia" w:hAnsiTheme="majorHAnsi" w:cstheme="majorBidi"/>
          <w:b/>
          <w:bCs/>
          <w:color w:val="365F91" w:themeColor="accent1" w:themeShade="BF"/>
          <w:sz w:val="28"/>
          <w:szCs w:val="28"/>
          <w:lang w:val="en-US"/>
        </w:rPr>
      </w:pPr>
      <w:r>
        <w:rPr>
          <w:lang w:val="en-US"/>
        </w:rPr>
        <w:br w:type="page"/>
      </w:r>
    </w:p>
    <w:p w14:paraId="0A575F42" w14:textId="3F21D2F8" w:rsidR="00B03E48" w:rsidRPr="00D37AB1" w:rsidRDefault="00B03E48" w:rsidP="00C942CA">
      <w:pPr>
        <w:pStyle w:val="Kop1"/>
        <w:rPr>
          <w:lang w:val="en-US"/>
        </w:rPr>
      </w:pPr>
      <w:bookmarkStart w:id="55" w:name="_Toc451961511"/>
      <w:r w:rsidRPr="00D37AB1">
        <w:rPr>
          <w:lang w:val="en-US"/>
        </w:rPr>
        <w:lastRenderedPageBreak/>
        <w:t>Discussion</w:t>
      </w:r>
      <w:bookmarkEnd w:id="55"/>
    </w:p>
    <w:p w14:paraId="762FCC02" w14:textId="64B9556F" w:rsidR="00F95879" w:rsidRPr="00E86C84" w:rsidRDefault="00795F77" w:rsidP="003058FE">
      <w:pPr>
        <w:spacing w:after="0" w:line="360" w:lineRule="auto"/>
        <w:jc w:val="both"/>
        <w:rPr>
          <w:lang w:val="en-US"/>
        </w:rPr>
      </w:pPr>
      <w:r>
        <w:rPr>
          <w:bCs/>
          <w:lang w:val="en-GB"/>
        </w:rPr>
        <w:t xml:space="preserve">Having periods is a major psychological burden for FtM late pubertal adolescents, whereas hair growth and sexual arousal are experienced as very stressful by MtF transgender adolescents. </w:t>
      </w:r>
      <w:r>
        <w:rPr>
          <w:lang w:val="en-US"/>
        </w:rPr>
        <w:t xml:space="preserve">In Belgium, as in many other countries where GnRHa are not reimbursed for the treatment of transgender adolescents, </w:t>
      </w:r>
      <w:r>
        <w:rPr>
          <w:bCs/>
          <w:lang w:val="en-GB"/>
        </w:rPr>
        <w:t xml:space="preserve">androgenic and anti-androgenic </w:t>
      </w:r>
      <w:r>
        <w:rPr>
          <w:lang w:val="en-US"/>
        </w:rPr>
        <w:t xml:space="preserve">progestins may be a valuable alternative </w:t>
      </w:r>
      <w:r>
        <w:rPr>
          <w:bCs/>
          <w:lang w:val="en-GB"/>
        </w:rPr>
        <w:t>to alleviate these complaints</w:t>
      </w:r>
      <w:r w:rsidR="00F71BD5">
        <w:rPr>
          <w:lang w:val="en-US"/>
        </w:rPr>
        <w:t>,</w:t>
      </w:r>
      <w:r w:rsidRPr="00E86C84">
        <w:rPr>
          <w:lang w:val="en-US"/>
        </w:rPr>
        <w:t xml:space="preserve"> </w:t>
      </w:r>
      <w:r>
        <w:rPr>
          <w:lang w:val="en-US"/>
        </w:rPr>
        <w:t xml:space="preserve">especially </w:t>
      </w:r>
      <w:r w:rsidR="006818FD">
        <w:rPr>
          <w:lang w:val="en-US"/>
        </w:rPr>
        <w:t xml:space="preserve">in late pubertal adolescents who already have advanced </w:t>
      </w:r>
      <w:r w:rsidR="00170815">
        <w:rPr>
          <w:lang w:val="en-US"/>
        </w:rPr>
        <w:t xml:space="preserve">secondary </w:t>
      </w:r>
      <w:r w:rsidR="006818FD">
        <w:rPr>
          <w:lang w:val="en-US"/>
        </w:rPr>
        <w:t>sexual characteristics</w:t>
      </w:r>
      <w:r>
        <w:rPr>
          <w:bCs/>
          <w:lang w:val="en-GB"/>
        </w:rPr>
        <w:t>.</w:t>
      </w:r>
      <w:r w:rsidR="006E7788">
        <w:rPr>
          <w:bCs/>
          <w:lang w:val="en-GB"/>
        </w:rPr>
        <w:t xml:space="preserve"> </w:t>
      </w:r>
      <w:r w:rsidR="00F71BD5">
        <w:rPr>
          <w:bCs/>
          <w:lang w:val="en-GB"/>
        </w:rPr>
        <w:t>H</w:t>
      </w:r>
      <w:r>
        <w:rPr>
          <w:bCs/>
          <w:lang w:val="en-GB"/>
        </w:rPr>
        <w:t>owever, n</w:t>
      </w:r>
      <w:r w:rsidR="006E7788">
        <w:rPr>
          <w:bCs/>
          <w:lang w:val="en-GB"/>
        </w:rPr>
        <w:t>o data exist</w:t>
      </w:r>
      <w:r>
        <w:rPr>
          <w:bCs/>
          <w:lang w:val="en-GB"/>
        </w:rPr>
        <w:t xml:space="preserve"> to date</w:t>
      </w:r>
      <w:r w:rsidR="006E7788">
        <w:rPr>
          <w:bCs/>
          <w:lang w:val="en-GB"/>
        </w:rPr>
        <w:t xml:space="preserve"> on their efficacy in reducing the above mentioned symptoms</w:t>
      </w:r>
      <w:r w:rsidR="00D37AB1">
        <w:rPr>
          <w:bCs/>
          <w:lang w:val="en-GB"/>
        </w:rPr>
        <w:t>, nor on their ability to inter</w:t>
      </w:r>
      <w:r w:rsidR="006E7788">
        <w:rPr>
          <w:bCs/>
          <w:lang w:val="en-GB"/>
        </w:rPr>
        <w:t xml:space="preserve">fere with other puberty-related physical characteristics, their side effects and </w:t>
      </w:r>
      <w:r w:rsidR="00170815">
        <w:rPr>
          <w:bCs/>
          <w:lang w:val="en-GB"/>
        </w:rPr>
        <w:t>potential</w:t>
      </w:r>
      <w:r w:rsidR="006E7788">
        <w:rPr>
          <w:bCs/>
          <w:lang w:val="en-GB"/>
        </w:rPr>
        <w:t xml:space="preserve"> capacity to modify physical appearance, body composition, bone development and biochemical parameters towards the desired sex. In order to investigate these questions, we undertook three studies, as described above. </w:t>
      </w:r>
      <w:r w:rsidR="00502391">
        <w:rPr>
          <w:bCs/>
          <w:lang w:val="en-GB"/>
        </w:rPr>
        <w:t xml:space="preserve">In addition, we retrospectively studied the effects and safety of CSH in FtM and MtF </w:t>
      </w:r>
      <w:r w:rsidR="000073CF">
        <w:rPr>
          <w:bCs/>
          <w:lang w:val="en-GB"/>
        </w:rPr>
        <w:t>trans</w:t>
      </w:r>
      <w:r w:rsidR="001A6EAE">
        <w:rPr>
          <w:bCs/>
          <w:lang w:val="en-GB"/>
        </w:rPr>
        <w:t>gender</w:t>
      </w:r>
      <w:r w:rsidR="000073CF">
        <w:rPr>
          <w:bCs/>
          <w:lang w:val="en-GB"/>
        </w:rPr>
        <w:t xml:space="preserve"> </w:t>
      </w:r>
      <w:r w:rsidR="00502391">
        <w:rPr>
          <w:bCs/>
          <w:lang w:val="en-GB"/>
        </w:rPr>
        <w:t>adolescents</w:t>
      </w:r>
      <w:r>
        <w:rPr>
          <w:bCs/>
          <w:lang w:val="en-GB"/>
        </w:rPr>
        <w:t xml:space="preserve"> in the first months of their use</w:t>
      </w:r>
      <w:r w:rsidR="00170815">
        <w:rPr>
          <w:bCs/>
          <w:lang w:val="en-GB"/>
        </w:rPr>
        <w:t>.</w:t>
      </w:r>
    </w:p>
    <w:p w14:paraId="4D80301B" w14:textId="325ECCBA" w:rsidR="000F7DA6" w:rsidRDefault="00B55BFC" w:rsidP="00170815">
      <w:pPr>
        <w:pStyle w:val="Kop2"/>
        <w:rPr>
          <w:lang w:val="en-GB"/>
        </w:rPr>
      </w:pPr>
      <w:bookmarkStart w:id="56" w:name="_Toc451961512"/>
      <w:r>
        <w:rPr>
          <w:lang w:val="en-GB"/>
        </w:rPr>
        <w:t>Lynestrenol in Female to Male trans</w:t>
      </w:r>
      <w:r w:rsidR="001A6EAE">
        <w:rPr>
          <w:lang w:val="en-GB"/>
        </w:rPr>
        <w:t>gender</w:t>
      </w:r>
      <w:r>
        <w:rPr>
          <w:lang w:val="en-GB"/>
        </w:rPr>
        <w:t xml:space="preserve"> adolescents</w:t>
      </w:r>
      <w:bookmarkEnd w:id="56"/>
    </w:p>
    <w:p w14:paraId="6FDF4591" w14:textId="038F9ABA" w:rsidR="00F126F1" w:rsidRPr="00F126F1" w:rsidRDefault="003058FE" w:rsidP="00F126F1">
      <w:pPr>
        <w:pStyle w:val="Kop3"/>
        <w:rPr>
          <w:lang w:val="en-GB"/>
        </w:rPr>
      </w:pPr>
      <w:bookmarkStart w:id="57" w:name="_Toc451961513"/>
      <w:r>
        <w:rPr>
          <w:lang w:val="en-GB"/>
        </w:rPr>
        <w:t>P</w:t>
      </w:r>
      <w:r w:rsidR="00F126F1">
        <w:rPr>
          <w:lang w:val="en-GB"/>
        </w:rPr>
        <w:t>atients</w:t>
      </w:r>
      <w:bookmarkEnd w:id="57"/>
      <w:r>
        <w:rPr>
          <w:lang w:val="en-GB"/>
        </w:rPr>
        <w:t xml:space="preserve"> </w:t>
      </w:r>
    </w:p>
    <w:p w14:paraId="30D0F31D" w14:textId="193EB9F5" w:rsidR="00355E80" w:rsidRDefault="00742AB9" w:rsidP="005B6F81">
      <w:pPr>
        <w:autoSpaceDE w:val="0"/>
        <w:autoSpaceDN w:val="0"/>
        <w:adjustRightInd w:val="0"/>
        <w:spacing w:after="0" w:line="360" w:lineRule="auto"/>
        <w:rPr>
          <w:bCs/>
          <w:lang w:val="en-GB"/>
        </w:rPr>
      </w:pPr>
      <w:r w:rsidRPr="00742AB9">
        <w:rPr>
          <w:bCs/>
          <w:lang w:val="en-GB"/>
        </w:rPr>
        <w:t>Our</w:t>
      </w:r>
      <w:r w:rsidR="00447DDF">
        <w:rPr>
          <w:bCs/>
          <w:lang w:val="en-GB"/>
        </w:rPr>
        <w:t xml:space="preserve"> </w:t>
      </w:r>
      <w:r w:rsidRPr="00742AB9">
        <w:rPr>
          <w:bCs/>
          <w:lang w:val="en-GB"/>
        </w:rPr>
        <w:t>study population did not differ from the adolescent Belgian</w:t>
      </w:r>
      <w:r>
        <w:rPr>
          <w:bCs/>
          <w:lang w:val="en-GB"/>
        </w:rPr>
        <w:t xml:space="preserve"> </w:t>
      </w:r>
      <w:r w:rsidRPr="00742AB9">
        <w:rPr>
          <w:bCs/>
          <w:lang w:val="en-GB"/>
        </w:rPr>
        <w:t>population in terms of educational level, smoking</w:t>
      </w:r>
      <w:r>
        <w:rPr>
          <w:bCs/>
          <w:lang w:val="en-GB"/>
        </w:rPr>
        <w:t xml:space="preserve"> </w:t>
      </w:r>
      <w:r w:rsidRPr="00742AB9">
        <w:rPr>
          <w:bCs/>
          <w:lang w:val="en-GB"/>
        </w:rPr>
        <w:t xml:space="preserve">habits, and alcohol consumption </w:t>
      </w:r>
      <w:r w:rsidR="007A3EDC">
        <w:rPr>
          <w:bCs/>
          <w:lang w:val="en-GB"/>
        </w:rPr>
        <w:fldChar w:fldCharType="begin" w:fldLock="1"/>
      </w:r>
      <w:r w:rsidR="002C52CA">
        <w:rPr>
          <w:bCs/>
          <w:lang w:val="en-GB"/>
        </w:rPr>
        <w:instrText>ADDIN CSL_CITATION { "citationItems" : [ { "id" : "ITEM-1", "itemData" : { "URL" : "http://www.onderwijs.vlaanderen.be/onderwijsstatistieken", "accessed" : { "date-parts" : [ [ "2016", "3", "17" ] ] }, "author" : [ { "dropping-particle" : "", "family" : "Scheys", "given" : "M", "non-dropping-particle" : "", "parse-names" : false, "suffix" : "" } ], "id" : "ITEM-1", "issued" : { "date-parts" : [ [ "0" ] ] }, "title" : "Vlaams onderwijs in cijfers 2013-2014. In: Departement Onderwijs en Vorming.", "type" : "webpage" }, "uris" : [ "http://www.mendeley.com/documents/?uuid=b71d32bf-ed30-403c-a08b-42980e478edc" ] }, { "id" : "ITEM-2", "itemData" : { "abstract" : "Background: The objective of the present study was firstly to collect data on smoking in adolescents from a high cardiovascular risk population and, secondly, to analyse the association between smoking and other cardiovascular risk factors. Methods: A cross-sectional study was conducted in 1,526 adolescents (12-17 years) in 24 secondary schools of the Belgian province of Luxembourg. Data collection included smoking, physical activity habits, blood pressure, total cholesterol, anthropometry, diet (e.g. alcohol consumption) and oral contraceptive use. Results: The prevalences of current and occasional smokers were 14.8 and 5.4% respectively, with similar proportions in both genders. The proportion of smokers was significantly higher in the technical course than in the classical one (35.6 versus 24% in the 15-17 years age group). In the 15-17 year old group, regular smokers consumed significantly more free sugar, alcohol, coffee and soft drinks and male smokers ate less fruit and vegetable than non-smokers. In the same age group, 32.6% of female smokers were oral contraceptive users versus 17.9% in the non-smokers group. Other cardiovascular risk factors were similar in regular smokers and non-smokers. Conclusion: Adolescent smoking is a cause for concern in this sample from a high cardiovascular risk population. Few links were found between the prior and other cardiovascular risk factors. However, the high prevalence of smoking in the technical course and its combined usage with oral contraceptives in teenagers deserve careful attention.", "author" : [ { "dropping-particle" : "", "family" : "Paulus", "given" : "D.", "non-dropping-particle" : "", "parse-names" : false, "suffix" : "" }, { "dropping-particle" : "", "family" : "Saint-Remy", "given" : "A.", "non-dropping-particle" : "", "parse-names" : false, "suffix" : "" }, { "dropping-particle" : "", "family" : "Jeanjean", "given" : "M.", "non-dropping-particle" : "", "parse-names" : false, "suffix" : "" } ], "id" : "ITEM-2", "issued" : { "date-parts" : [ [ "2000" ] ] }, "title" : "Smoking during adolescence: Association with other cardiovascular risk factors in Belgian adolescents.", "type" : "article-journal" }, "uris" : [ "http://www.mendeley.com/documents/?uuid=47c7a2e3-f66a-4854-8218-1e179136bb26" ] }, { "id" : "ITEM-3", "itemData" : { "ISBN" : "0393-2990 (Print)\\r0393-2990", "ISSN" : "0393-2990", "PMID" : "10780340", "abstract" : "Despite abundant literature the respective roles of psychosomatic status, personality, health perception, family environment, and sport activity in tobacco, alcohol and illicit drug use have not been well known. To assess their roles, an epidemiological cross-sectional study was conducted in 3294 middle and high school adolescents, 2396 (73%) of whom agreed to participate. The standardized questionnaire was filled out by the teenagers under the supervision of the teachers. Strong associations were found between tobacco, alcohol, and illicit drug use. The prevalence of alcohol use and illicit drug use were respectively 7 and 10 times higher in smokers than in non-smokers. On the whole, the potential risk factors for tobacco, alcohol, and illicit drug use were age, psychosomatic status and psychotropic drug consumption, boring family atmosphere, not living with both father and mother, and health perception. Mother being a housewife was a protective factor. No marked role was noted for the head of family's socio-occupational category. Personality would be indicators of self-control ability. Indeed, some self-reported personalities (serious, attentive, calm, organized) had protection roles whereas some others (easily irritable, aggressive, worried, clumsy, careless, solitary, etc.) were risk factors (risk-taking or deviant behaviors). Some sports activities were found to be negatively related, but some others related positively with drug use, possibly due to repetitive meetings between the adolescents at risk. Preventive measures may be targeted at these risk factors.", "author" : [ { "dropping-particle" : "", "family" : "Challier", "given" : "B", "non-dropping-particle" : "", "parse-names" : false, "suffix" : "" }, { "dropping-particle" : "", "family" : "Chau", "given" : "N", "non-dropping-particle" : "", "parse-names" : false, "suffix" : "" }, { "dropping-particle" : "", "family" : "Pr\u00e9dine", "given" : "R", "non-dropping-particle" : "", "parse-names" : false, "suffix" : "" }, { "dropping-particle" : "", "family" : "Choquet", "given" : "M", "non-dropping-particle" : "", "parse-names" : false, "suffix" : "" }, { "dropping-particle" : "", "family" : "Legras", "given" : "B", "non-dropping-particle" : "", "parse-names" : false, "suffix" : "" }, { "dropping-particle" : "", "family" : "Predine", "given" : "R", "non-dropping-particle" : "", "parse-names" : false, "suffix" : "" }, { "dropping-particle" : "", "family" : "Choquet", "given" : "M", "non-dropping-particle" : "", "parse-names" : false, "suffix" : "" }, { "dropping-particle" : "", "family" : "Legras", "given" : "B", "non-dropping-particle" : "", "parse-names" : false, "suffix" : "" } ], "container-title" : "Eur J Epidemiol", "id" : "ITEM-3", "issue" : "1", "issued" : { "date-parts" : [ [ "2000" ] ] }, "page" : "33-42", "title" : "Associations of family environment and individual factors with tobacco, alcohol, and illicit drug use in adolescents", "type" : "article-journal", "volume" : "16" }, "uris" : [ "http://www.mendeley.com/documents/?uuid=acad5c14-94bd-4638-bf11-2cd67bf651fc" ] } ], "mendeley" : { "formattedCitation" : "(56\u201358)", "plainTextFormattedCitation" : "(56\u201358)", "previouslyFormattedCitation" : "(56\u201358)" }, "properties" : { "noteIndex" : 0 }, "schema" : "https://github.com/citation-style-language/schema/raw/master/csl-citation.json" }</w:instrText>
      </w:r>
      <w:r w:rsidR="007A3EDC">
        <w:rPr>
          <w:bCs/>
          <w:lang w:val="en-GB"/>
        </w:rPr>
        <w:fldChar w:fldCharType="separate"/>
      </w:r>
      <w:r w:rsidR="00C7364E" w:rsidRPr="00C7364E">
        <w:rPr>
          <w:bCs/>
          <w:noProof/>
          <w:lang w:val="en-GB"/>
        </w:rPr>
        <w:t>(56–58)</w:t>
      </w:r>
      <w:r w:rsidR="007A3EDC">
        <w:rPr>
          <w:bCs/>
          <w:lang w:val="en-GB"/>
        </w:rPr>
        <w:fldChar w:fldCharType="end"/>
      </w:r>
      <w:r w:rsidRPr="00742AB9">
        <w:rPr>
          <w:bCs/>
          <w:lang w:val="en-GB"/>
        </w:rPr>
        <w:t>.</w:t>
      </w:r>
      <w:r>
        <w:rPr>
          <w:bCs/>
          <w:lang w:val="en-GB"/>
        </w:rPr>
        <w:t xml:space="preserve"> </w:t>
      </w:r>
    </w:p>
    <w:p w14:paraId="15401A71" w14:textId="6D50CA7D" w:rsidR="00355E80" w:rsidRDefault="00355E80" w:rsidP="00355E80">
      <w:pPr>
        <w:pStyle w:val="Kop3"/>
        <w:rPr>
          <w:lang w:val="en-GB"/>
        </w:rPr>
      </w:pPr>
      <w:bookmarkStart w:id="58" w:name="_Toc451961514"/>
      <w:r>
        <w:rPr>
          <w:lang w:val="en-GB"/>
        </w:rPr>
        <w:t>Side effects</w:t>
      </w:r>
      <w:bookmarkEnd w:id="58"/>
    </w:p>
    <w:p w14:paraId="49C25712" w14:textId="2458210D" w:rsidR="000F7DA6" w:rsidRDefault="00742AB9" w:rsidP="007B49F8">
      <w:pPr>
        <w:autoSpaceDE w:val="0"/>
        <w:autoSpaceDN w:val="0"/>
        <w:adjustRightInd w:val="0"/>
        <w:spacing w:after="0" w:line="360" w:lineRule="auto"/>
        <w:jc w:val="both"/>
        <w:rPr>
          <w:bCs/>
          <w:lang w:val="en-GB"/>
        </w:rPr>
      </w:pPr>
      <w:r w:rsidRPr="00742AB9">
        <w:rPr>
          <w:bCs/>
          <w:lang w:val="en-GB"/>
        </w:rPr>
        <w:t>The most frequently reported side effects were metrorrhagia</w:t>
      </w:r>
      <w:r>
        <w:rPr>
          <w:bCs/>
          <w:lang w:val="en-GB"/>
        </w:rPr>
        <w:t xml:space="preserve"> </w:t>
      </w:r>
      <w:r w:rsidRPr="00742AB9">
        <w:rPr>
          <w:bCs/>
          <w:lang w:val="en-GB"/>
        </w:rPr>
        <w:t>(almost 50 % after 6 months of L) and acne (almost</w:t>
      </w:r>
      <w:r>
        <w:rPr>
          <w:bCs/>
          <w:lang w:val="en-GB"/>
        </w:rPr>
        <w:t xml:space="preserve"> </w:t>
      </w:r>
      <w:r w:rsidR="00C13DB7">
        <w:rPr>
          <w:bCs/>
          <w:lang w:val="en-GB"/>
        </w:rPr>
        <w:t>60 % after 6 months of L+</w:t>
      </w:r>
      <w:r w:rsidRPr="00742AB9">
        <w:rPr>
          <w:bCs/>
          <w:lang w:val="en-GB"/>
        </w:rPr>
        <w:t>T</w:t>
      </w:r>
      <w:r w:rsidR="00C13DB7">
        <w:rPr>
          <w:bCs/>
          <w:lang w:val="en-GB"/>
        </w:rPr>
        <w:t>E</w:t>
      </w:r>
      <w:r w:rsidRPr="00742AB9">
        <w:rPr>
          <w:bCs/>
          <w:lang w:val="en-GB"/>
        </w:rPr>
        <w:t xml:space="preserve"> but also prevalent</w:t>
      </w:r>
      <w:r>
        <w:rPr>
          <w:bCs/>
          <w:lang w:val="en-GB"/>
        </w:rPr>
        <w:t xml:space="preserve"> </w:t>
      </w:r>
      <w:r w:rsidRPr="00742AB9">
        <w:rPr>
          <w:bCs/>
          <w:lang w:val="en-GB"/>
        </w:rPr>
        <w:t>during L). In many but not all cases, metrorrhagia was limited and could be controlled by doubling the L dose</w:t>
      </w:r>
      <w:r>
        <w:rPr>
          <w:bCs/>
          <w:lang w:val="en-GB"/>
        </w:rPr>
        <w:t xml:space="preserve"> </w:t>
      </w:r>
      <w:r w:rsidRPr="00742AB9">
        <w:rPr>
          <w:bCs/>
          <w:lang w:val="en-GB"/>
        </w:rPr>
        <w:t>during 10 days; metrorrhagia tends to be less prevalent</w:t>
      </w:r>
      <w:r>
        <w:rPr>
          <w:bCs/>
          <w:lang w:val="en-GB"/>
        </w:rPr>
        <w:t xml:space="preserve"> </w:t>
      </w:r>
      <w:r w:rsidRPr="00742AB9">
        <w:rPr>
          <w:bCs/>
          <w:lang w:val="en-GB"/>
        </w:rPr>
        <w:t>with longer treatment duration. An increase in acne in</w:t>
      </w:r>
      <w:r>
        <w:rPr>
          <w:bCs/>
          <w:lang w:val="en-GB"/>
        </w:rPr>
        <w:t xml:space="preserve"> </w:t>
      </w:r>
      <w:r w:rsidRPr="00742AB9">
        <w:rPr>
          <w:bCs/>
          <w:lang w:val="en-GB"/>
        </w:rPr>
        <w:t>women during androgenic progestin or androgen administration</w:t>
      </w:r>
      <w:r w:rsidR="00447DDF">
        <w:rPr>
          <w:bCs/>
          <w:lang w:val="en-GB"/>
        </w:rPr>
        <w:t xml:space="preserve"> </w:t>
      </w:r>
      <w:r w:rsidRPr="00742AB9">
        <w:rPr>
          <w:bCs/>
          <w:lang w:val="en-GB"/>
        </w:rPr>
        <w:t xml:space="preserve">is a well-known phenomenon </w:t>
      </w:r>
      <w:r w:rsidR="007A3EDC">
        <w:rPr>
          <w:bCs/>
          <w:lang w:val="en-GB"/>
        </w:rPr>
        <w:fldChar w:fldCharType="begin" w:fldLock="1"/>
      </w:r>
      <w:r w:rsidR="002C52CA">
        <w:rPr>
          <w:bCs/>
          <w:lang w:val="en-GB"/>
        </w:rPr>
        <w:instrText>ADDIN CSL_CITATION { "citationItems" : [ { "id" : "ITEM-1", "itemData" : { "author" : [ { "dropping-particle" : "", "family" : "Cools", "given" : "Martine", "non-dropping-particle" : "", "parse-names" : false, "suffix" : "" }, { "dropping-particle" : "", "family" : "Craen", "given" : "Margarita", "non-dropping-particle" : "", "parse-names" : false, "suffix" : "" }, { "dropping-particle" : "", "family" : "T'Sjoen", "given" : "Guy", "non-dropping-particle" : "", "parse-names" : false, "suffix" : "" } ], "container-title" : "Tijdschrift van de Belgische Kinderarts", "id" : "ITEM-1", "issue" : "1", "issued" : { "date-parts" : [ [ "2010" ] ] }, "page" : "28-33", "title" : "The endocrine treatment of transsexual adolescents", "type" : "article-journal", "volume" : "12" }, "uris" : [ "http://www.mendeley.com/documents/?uuid=67bcf829-77ac-4e57-bc10-54d29b8977cf" ] }, { "id" : "ITEM-2", "itemData" : { "DOI" : "10.1111/jsm.12571", "ISSN" : "17436095", "author" : [ { "dropping-particle" : "", "family" : "Wierckx", "given" : "Katrien", "non-dropping-particle" : "", "parse-names" : false, "suffix" : "" }, { "dropping-particle" : "", "family" : "Caenegem", "given" : "Eva", "non-dropping-particle" : "Van", "parse-names" : false, "suffix" : "" }, { "dropping-particle" : "", "family" : "Schreiner", "given" : "Thomas", "non-dropping-particle" : "", "parse-names" : false, "suffix" : "" }, { "dropping-particle" : "", "family" : "Haraldsen", "given" : "Ira", "non-dropping-particle" : "", "parse-names" : false, "suffix" : "" }, { "dropping-particle" : "", "family" : "Fisher", "given" : "Alessandra", "non-dropping-particle" : "", "parse-names" : false, "suffix" : "" }, { "dropping-particle" : "", "family" : "Toye", "given" : "Kaatje", "non-dropping-particle" : "", "parse-names" : false, "suffix" : "" }, { "dropping-particle" : "", "family" : "Kaufman", "given" : "Jean Marc", "non-dropping-particle" : "", "parse-names" : false, "suffix" : "" }, { "dropping-particle" : "", "family" : "T'Sjoen", "given" : "Guy", "non-dropping-particle" : "", "parse-names" : false, "suffix" : "" } ], "container-title" : "The Journal of Sexual Medicine", "id" : "ITEM-2", "issued" : { "date-parts" : [ [ "2014" ] ] }, "page" : "1999-2011", "title" : "Cross-Sex Hormone Therapy in Trans Persons Is Safe and Effective at Short-Time Follow-Up: Results from the European Network for the Investigation of Gender Incongruence", "type" : "article-journal", "volume" : "11" }, "uris" : [ "http://www.mendeley.com/documents/?uuid=ed3a7a4a-3e69-4e5a-b892-b9eca8c4e3e8" ] }, { "id" : "ITEM-3", "itemData" : { "DOI" : "10.1111/jsm.12366", "ISSN" : "17436095", "author" : [ { "dropping-particle" : "", "family" : "Wierckx", "given" : "Katrien", "non-dropping-particle" : "", "parse-names" : false, "suffix" : "" }, { "dropping-particle" : "", "family" : "Peer", "given" : "Fleur", "non-dropping-particle" : "Van de", "parse-names" : false, "suffix" : "" }, { "dropping-particle" : "", "family" : "Verhaeghe", "given" : "Evelien", "non-dropping-particle" : "", "parse-names" : false, "suffix" : "" }, { "dropping-particle" : "", "family" : "Dedecker", "given" : "David", "non-dropping-particle" : "", "parse-names" : false, "suffix" : "" }, { "dropping-particle" : "", "family" : "Caenegem", "given" : "Eva", "non-dropping-particle" : "Van", "parse-names" : false, "suffix" : "" }, { "dropping-particle" : "", "family" : "Toye", "given" : "Kaatje", "non-dropping-particle" : "", "parse-names" : false, "suffix" : "" }, { "dropping-particle" : "", "family" : "Kaufman", "given" : "Jean Marc", "non-dropping-particle" : "", "parse-names" : false, "suffix" : "" }, { "dropping-particle" : "", "family" : "T'Sjoen", "given" : "Guy", "non-dropping-particle" : "", "parse-names" : false, "suffix" : "" } ], "container-title" : "The Journal of Sexual Medicine", "id" : "ITEM-3", "issue" : "1", "issued" : { "date-parts" : [ [ "2014" ] ] }, "page" : "222-229", "title" : "Short- and Long-Term Clinical Skin Effects of Testosterone Treatment in Trans Men", "type" : "article-journal", "volume" : "11" }, "uris" : [ "http://www.mendeley.com/documents/?uuid=4c39c7da-f43c-4bb1-b3ab-c13e110e32cb" ] }, { "id" : "ITEM-4", "itemData" : { "DOI" : "10.2165/00007256-200434080-00003", "ISBN" : "0112-1642", "ISSN" : "01121642", "PMID" : "15248788", "abstract" : "Androgenic-anabolic steroids (AAS) are synthetic derivatives of the male hormone testosterone. They can exert strong effects on the human body that may be beneficial for athletic performance. A review of the literature revealed that most laboratory studies did not investigate the actual doses of AAS currently abused in the field. Therefore, those studies may not reflect the actual (adverse) effects of steroids. The available scientific literature describes that short-term administration of these drugs by athletes can increase strength and bodyweight. Strength gains of about 5-20% of the initial strength and increments of 2-5 kg bodyweight, that may be attributed to an increase of the lean body mass, have been observed. A reduction of fat mass does not seem to occur. Although AAS administration may affect erythropoiesis and blood haemoglobin concentrations, no effect on endurance performance was observed. Little data about the effects of AAS on metabolic responses during exercise training and recovery are available and, therefore, do not allow firm conclusions. The main untoward effects of short- and long-term AAS abuse that male athletes most often self-report are an increase in sexual drive, the occurrence of acne vulgaris, increased body hair and increment of aggressive behaviour. AAS administration will disturb the regular endogenous production of testosterone and gonadotrophins that may persist for months after drug withdrawal. Cardiovascular risk factors may undergo deleterious alterations, including elevation of blood pressure and depression of serum high-density lipoprotein (HDL)-, HDL2- and HDL3-cholesterol levels. In echocardiographic studies in male athletes, AAS did not seem to affect cardiac structure and function, although in animal studies these drugs have been observed to exert hazardous effects on heart structure and function. In studies of athletes, AAS were not found to damage the liver. Psyche and behaviour seem to be strongly affected by AAS. Generally, AAS seem to induce increments of aggression and hostility. Mood disturbances (e.g. depression, [hypo-]mania, psychotic features) are likely to be dose and drug dependent. AAS dependence or withdrawal effects (such as depression) seem to occur only in a small number of AAS users. Dissatisfaction with the body and low self-esteem may lead to the so-called 'reverse anorexia syndrome' that predisposes to the start of AAS use. Many other adverse effects have been associated with AAS misuse\u2026", "author" : [ { "dropping-particle" : "", "family" : "Hartgens", "given" : "Fred", "non-dropping-particle" : "", "parse-names" : false, "suffix" : "" }, { "dropping-particle" : "", "family" : "Kuipers", "given" : "Harm", "non-dropping-particle" : "", "parse-names" : false, "suffix" : "" } ], "container-title" : "Sports Medicine", "id" : "ITEM-4", "issue" : "8", "issued" : { "date-parts" : [ [ "2004" ] ] }, "page" : "513-554", "title" : "Effects of androgenic-anabolic steroids in athletes", "type" : "article-journal", "volume" : "34" }, "uris" : [ "http://www.mendeley.com/documents/?uuid=68e9eba4-e0ce-4cdc-a8f1-0c29c63423d7" ] }, { "id" : "ITEM-5", "itemData" : { "ISSN" : "1701-2163", "PMID" : "22971455", "abstract" : "Hypoactive sexual desire disorder (HSDD), a subset of female sexual dysfunction, causes personal distress for surgically and naturally postmenopausal and premenopausal women. HSDD has a multi-factorial etiology, including psychosocial factors such as relationship issues and medical factors such as medications, chronic illnesses, and hormonal effects. Although no androgen therapies for female sexual dysfunction are currently approved for use in Canada, clinical trials support the efficacy and short-term safety of testosterone therapy for HSDD. We review the scientific evidence for the safety of testosterone therapy for HSDD.", "author" : [ { "dropping-particle" : "", "family" : "Al-Imari", "given" : "Lina", "non-dropping-particle" : "", "parse-names" : false, "suffix" : "" }, { "dropping-particle" : "", "family" : "Wolfman", "given" : "Wendy L", "non-dropping-particle" : "", "parse-names" : false, "suffix" : "" } ], "container-title" : "Journal of obstetrics and gynaecology Canada : JOGC = Journal d'obste\u0301trique et gyne\u0301cologie du Canada : JOGC", "id" : "ITEM-5", "issue" : "9", "issued" : { "date-parts" : [ [ "2012", "9" ] ] }, "page" : "859-65", "title" : "The safety of testosterone therapy in women.", "type" : "article-journal", "volume" : "34" }, "uris" : [ "http://www.mendeley.com/documents/?uuid=8dce7517-b9f0-4243-a9d0-b9f6b12c8f71" ] } ], "mendeley" : { "formattedCitation" : "(18,44,51,59,60)", "plainTextFormattedCitation" : "(18,44,51,59,60)", "previouslyFormattedCitation" : "(18,44,51,59,60)" }, "properties" : { "noteIndex" : 0 }, "schema" : "https://github.com/citation-style-language/schema/raw/master/csl-citation.json" }</w:instrText>
      </w:r>
      <w:r w:rsidR="007A3EDC">
        <w:rPr>
          <w:bCs/>
          <w:lang w:val="en-GB"/>
        </w:rPr>
        <w:fldChar w:fldCharType="separate"/>
      </w:r>
      <w:r w:rsidR="00C7364E" w:rsidRPr="00C7364E">
        <w:rPr>
          <w:bCs/>
          <w:noProof/>
          <w:lang w:val="en-GB"/>
        </w:rPr>
        <w:t>(18,44,51,59,60)</w:t>
      </w:r>
      <w:r w:rsidR="007A3EDC">
        <w:rPr>
          <w:bCs/>
          <w:lang w:val="en-GB"/>
        </w:rPr>
        <w:fldChar w:fldCharType="end"/>
      </w:r>
      <w:r w:rsidRPr="00742AB9">
        <w:rPr>
          <w:bCs/>
          <w:lang w:val="en-GB"/>
        </w:rPr>
        <w:t>. However, adolescents are particularly vulnerable</w:t>
      </w:r>
      <w:r w:rsidR="00447DDF">
        <w:rPr>
          <w:bCs/>
          <w:lang w:val="en-GB"/>
        </w:rPr>
        <w:t xml:space="preserve"> </w:t>
      </w:r>
      <w:r w:rsidR="000C1335">
        <w:rPr>
          <w:bCs/>
          <w:lang w:val="en-GB"/>
        </w:rPr>
        <w:t>for</w:t>
      </w:r>
      <w:r w:rsidR="000C1335" w:rsidRPr="00742AB9">
        <w:rPr>
          <w:bCs/>
          <w:lang w:val="en-GB"/>
        </w:rPr>
        <w:t xml:space="preserve"> </w:t>
      </w:r>
      <w:r w:rsidRPr="00742AB9">
        <w:rPr>
          <w:bCs/>
          <w:lang w:val="en-GB"/>
        </w:rPr>
        <w:t>this side effect. In 3/13 (23.1 %) of adolescents with</w:t>
      </w:r>
      <w:r>
        <w:rPr>
          <w:bCs/>
          <w:lang w:val="en-GB"/>
        </w:rPr>
        <w:t xml:space="preserve"> </w:t>
      </w:r>
      <w:r w:rsidRPr="00742AB9">
        <w:rPr>
          <w:bCs/>
          <w:lang w:val="en-GB"/>
        </w:rPr>
        <w:t>acne during L+T</w:t>
      </w:r>
      <w:r w:rsidR="006E34C2">
        <w:rPr>
          <w:bCs/>
          <w:lang w:val="en-GB"/>
        </w:rPr>
        <w:t>E</w:t>
      </w:r>
      <w:r w:rsidRPr="00742AB9">
        <w:rPr>
          <w:bCs/>
          <w:lang w:val="en-GB"/>
        </w:rPr>
        <w:t>, vitamin A analogs were required.</w:t>
      </w:r>
      <w:r>
        <w:rPr>
          <w:bCs/>
          <w:lang w:val="en-GB"/>
        </w:rPr>
        <w:t xml:space="preserve"> </w:t>
      </w:r>
      <w:r w:rsidRPr="00742AB9">
        <w:rPr>
          <w:bCs/>
          <w:lang w:val="en-GB"/>
        </w:rPr>
        <w:t>Combining L+T</w:t>
      </w:r>
      <w:r w:rsidR="006E34C2">
        <w:rPr>
          <w:bCs/>
          <w:lang w:val="en-GB"/>
        </w:rPr>
        <w:t>E</w:t>
      </w:r>
      <w:r w:rsidRPr="00742AB9">
        <w:rPr>
          <w:bCs/>
          <w:lang w:val="en-GB"/>
        </w:rPr>
        <w:t xml:space="preserve"> with vitamin A analogs did not lead to</w:t>
      </w:r>
      <w:r>
        <w:rPr>
          <w:bCs/>
          <w:lang w:val="en-GB"/>
        </w:rPr>
        <w:t xml:space="preserve"> </w:t>
      </w:r>
      <w:r w:rsidRPr="00742AB9">
        <w:rPr>
          <w:bCs/>
          <w:lang w:val="en-GB"/>
        </w:rPr>
        <w:t>exacerbation of liver enzymes or important changes in</w:t>
      </w:r>
      <w:r>
        <w:rPr>
          <w:bCs/>
          <w:lang w:val="en-GB"/>
        </w:rPr>
        <w:t xml:space="preserve"> </w:t>
      </w:r>
      <w:r w:rsidRPr="00742AB9">
        <w:rPr>
          <w:bCs/>
          <w:lang w:val="en-GB"/>
        </w:rPr>
        <w:t>other safety parameters.</w:t>
      </w:r>
      <w:r>
        <w:rPr>
          <w:bCs/>
          <w:lang w:val="en-GB"/>
        </w:rPr>
        <w:t xml:space="preserve"> </w:t>
      </w:r>
    </w:p>
    <w:p w14:paraId="79D9033F" w14:textId="0FC210A2" w:rsidR="00355E80" w:rsidRDefault="00355E80" w:rsidP="00355E80">
      <w:pPr>
        <w:pStyle w:val="Kop3"/>
        <w:rPr>
          <w:lang w:val="en-GB"/>
        </w:rPr>
      </w:pPr>
      <w:bookmarkStart w:id="59" w:name="_Toc451961515"/>
      <w:r>
        <w:rPr>
          <w:lang w:val="en-GB"/>
        </w:rPr>
        <w:t>Ant</w:t>
      </w:r>
      <w:r w:rsidR="00AA514B">
        <w:rPr>
          <w:lang w:val="en-GB"/>
        </w:rPr>
        <w:t>h</w:t>
      </w:r>
      <w:r>
        <w:rPr>
          <w:lang w:val="en-GB"/>
        </w:rPr>
        <w:t>ropometrics</w:t>
      </w:r>
      <w:bookmarkEnd w:id="59"/>
    </w:p>
    <w:p w14:paraId="7F416E5C" w14:textId="5BB05498" w:rsidR="00355E80" w:rsidRDefault="000C1335" w:rsidP="008204AE">
      <w:pPr>
        <w:autoSpaceDE w:val="0"/>
        <w:autoSpaceDN w:val="0"/>
        <w:adjustRightInd w:val="0"/>
        <w:spacing w:after="0" w:line="360" w:lineRule="auto"/>
        <w:jc w:val="both"/>
        <w:rPr>
          <w:bCs/>
          <w:lang w:val="en-GB"/>
        </w:rPr>
      </w:pPr>
      <w:r>
        <w:rPr>
          <w:bCs/>
          <w:lang w:val="en-GB"/>
        </w:rPr>
        <w:t>Since according to our protocol, L is started in late puberty (B4 and later), it</w:t>
      </w:r>
      <w:r w:rsidR="00742AB9" w:rsidRPr="00742AB9">
        <w:rPr>
          <w:bCs/>
          <w:lang w:val="en-GB"/>
        </w:rPr>
        <w:t xml:space="preserve"> does not interfere with residual growth. </w:t>
      </w:r>
      <w:r w:rsidR="008204AE">
        <w:rPr>
          <w:bCs/>
          <w:lang w:val="en-GB"/>
        </w:rPr>
        <w:t xml:space="preserve">L in monotherapy did not </w:t>
      </w:r>
      <w:r>
        <w:rPr>
          <w:bCs/>
          <w:lang w:val="en-GB"/>
        </w:rPr>
        <w:t xml:space="preserve">lead to </w:t>
      </w:r>
      <w:r w:rsidR="008204AE">
        <w:rPr>
          <w:bCs/>
          <w:lang w:val="en-GB"/>
        </w:rPr>
        <w:t>unphysiological weight gain, whereas</w:t>
      </w:r>
      <w:r w:rsidR="00742AB9" w:rsidRPr="00742AB9">
        <w:rPr>
          <w:bCs/>
          <w:lang w:val="en-GB"/>
        </w:rPr>
        <w:t xml:space="preserve"> L+T</w:t>
      </w:r>
      <w:r w:rsidR="006E34C2">
        <w:rPr>
          <w:bCs/>
          <w:lang w:val="en-GB"/>
        </w:rPr>
        <w:t>E</w:t>
      </w:r>
      <w:r w:rsidR="00742AB9" w:rsidRPr="00742AB9">
        <w:rPr>
          <w:bCs/>
          <w:lang w:val="en-GB"/>
        </w:rPr>
        <w:t xml:space="preserve"> </w:t>
      </w:r>
      <w:r>
        <w:rPr>
          <w:bCs/>
          <w:lang w:val="en-GB"/>
        </w:rPr>
        <w:t xml:space="preserve">was associated with </w:t>
      </w:r>
      <w:r w:rsidR="00B85D22">
        <w:rPr>
          <w:bCs/>
          <w:lang w:val="en-GB"/>
        </w:rPr>
        <w:t>a</w:t>
      </w:r>
      <w:r>
        <w:rPr>
          <w:bCs/>
          <w:lang w:val="en-GB"/>
        </w:rPr>
        <w:t xml:space="preserve"> significant</w:t>
      </w:r>
      <w:r w:rsidR="00B85D22">
        <w:rPr>
          <w:bCs/>
          <w:lang w:val="en-GB"/>
        </w:rPr>
        <w:t xml:space="preserve"> increase in weight and BMI. This</w:t>
      </w:r>
      <w:r w:rsidR="00742AB9" w:rsidRPr="00742AB9">
        <w:rPr>
          <w:bCs/>
          <w:lang w:val="en-GB"/>
        </w:rPr>
        <w:t xml:space="preserve"> is most</w:t>
      </w:r>
      <w:r w:rsidR="00742AB9">
        <w:rPr>
          <w:bCs/>
          <w:lang w:val="en-GB"/>
        </w:rPr>
        <w:t xml:space="preserve"> </w:t>
      </w:r>
      <w:r w:rsidR="00742AB9" w:rsidRPr="00742AB9">
        <w:rPr>
          <w:bCs/>
          <w:lang w:val="en-GB"/>
        </w:rPr>
        <w:t>likely due to changes in lean body mass, as is seen in</w:t>
      </w:r>
      <w:r w:rsidR="00742AB9">
        <w:rPr>
          <w:bCs/>
          <w:lang w:val="en-GB"/>
        </w:rPr>
        <w:t xml:space="preserve"> </w:t>
      </w:r>
      <w:r w:rsidR="00742AB9" w:rsidRPr="00742AB9">
        <w:rPr>
          <w:bCs/>
          <w:lang w:val="en-GB"/>
        </w:rPr>
        <w:t>athletes who use androgenic anabolic steroids</w:t>
      </w:r>
      <w:r w:rsidR="00B85D22">
        <w:rPr>
          <w:bCs/>
          <w:lang w:val="en-GB"/>
        </w:rPr>
        <w:t xml:space="preserve"> and will be discussed further in part three of this study</w:t>
      </w:r>
      <w:r w:rsidR="00742AB9" w:rsidRPr="00742AB9">
        <w:rPr>
          <w:bCs/>
          <w:lang w:val="en-GB"/>
        </w:rPr>
        <w:t xml:space="preserve"> </w:t>
      </w:r>
      <w:r w:rsidR="007A3EDC">
        <w:rPr>
          <w:bCs/>
          <w:lang w:val="en-GB"/>
        </w:rPr>
        <w:fldChar w:fldCharType="begin" w:fldLock="1"/>
      </w:r>
      <w:r w:rsidR="002C52CA">
        <w:rPr>
          <w:bCs/>
          <w:lang w:val="en-GB"/>
        </w:rPr>
        <w:instrText>ADDIN CSL_CITATION { "citationItems" : [ { "id" : "ITEM-1", "itemData" : { "DOI" : "10.2165/00007256-200434080-00003", "ISBN" : "0112-1642", "ISSN" : "01121642", "PMID" : "15248788", "abstract" : "Androgenic-anabolic steroids (AAS) are synthetic derivatives of the male hormone testosterone. They can exert strong effects on the human body that may be beneficial for athletic performance. A review of the literature revealed that most laboratory studies did not investigate the actual doses of AAS currently abused in the field. Therefore, those studies may not reflect the actual (adverse) effects of steroids. The available scientific literature describes that short-term administration of these drugs by athletes can increase strength and bodyweight. Strength gains of about 5-20% of the initial strength and increments of 2-5 kg bodyweight, that may be attributed to an increase of the lean body mass, have been observed. A reduction of fat mass does not seem to occur. Although AAS administration may affect erythropoiesis and blood haemoglobin concentrations, no effect on endurance performance was observed. Little data about the effects of AAS on metabolic responses during exercise training and recovery are available and, therefore, do not allow firm conclusions. The main untoward effects of short- and long-term AAS abuse that male athletes most often self-report are an increase in sexual drive, the occurrence of acne vulgaris, increased body hair and increment of aggressive behaviour. AAS administration will disturb the regular endogenous production of testosterone and gonadotrophins that may persist for months after drug withdrawal. Cardiovascular risk factors may undergo deleterious alterations, including elevation of blood pressure and depression of serum high-density lipoprotein (HDL)-, HDL2- and HDL3-cholesterol levels. In echocardiographic studies in male athletes, AAS did not seem to affect cardiac structure and function, although in animal studies these drugs have been observed to exert hazardous effects on heart structure and function. In studies of athletes, AAS were not found to damage the liver. Psyche and behaviour seem to be strongly affected by AAS. Generally, AAS seem to induce increments of aggression and hostility. Mood disturbances (e.g. depression, [hypo-]mania, psychotic features) are likely to be dose and drug dependent. AAS dependence or withdrawal effects (such as depression) seem to occur only in a small number of AAS users. Dissatisfaction with the body and low self-esteem may lead to the so-called 'reverse anorexia syndrome' that predisposes to the start of AAS use. Many other adverse effects have been associated with AAS misuse\u2026", "author" : [ { "dropping-particle" : "", "family" : "Hartgens", "given" : "Fred", "non-dropping-particle" : "", "parse-names" : false, "suffix" : "" }, { "dropping-particle" : "", "family" : "Kuipers", "given" : "Harm", "non-dropping-particle" : "", "parse-names" : false, "suffix" : "" } ], "container-title" : "Sports Medicine", "id" : "ITEM-1", "issue" : "8", "issued" : { "date-parts" : [ [ "2004" ] ] }, "page" : "513-554", "title" : "Effects of androgenic-anabolic steroids in athletes", "type" : "article-journal", "volume" : "34" }, "uris" : [ "http://www.mendeley.com/documents/?uuid=68e9eba4-e0ce-4cdc-a8f1-0c29c63423d7" ] } ], "mendeley" : { "formattedCitation" : "(59)", "plainTextFormattedCitation" : "(59)", "previouslyFormattedCitation" : "(59)" }, "properties" : { "noteIndex" : 0 }, "schema" : "https://github.com/citation-style-language/schema/raw/master/csl-citation.json" }</w:instrText>
      </w:r>
      <w:r w:rsidR="007A3EDC">
        <w:rPr>
          <w:bCs/>
          <w:lang w:val="en-GB"/>
        </w:rPr>
        <w:fldChar w:fldCharType="separate"/>
      </w:r>
      <w:r w:rsidR="00C7364E" w:rsidRPr="00C7364E">
        <w:rPr>
          <w:bCs/>
          <w:noProof/>
          <w:lang w:val="en-GB"/>
        </w:rPr>
        <w:t>(59)</w:t>
      </w:r>
      <w:r w:rsidR="007A3EDC">
        <w:rPr>
          <w:bCs/>
          <w:lang w:val="en-GB"/>
        </w:rPr>
        <w:fldChar w:fldCharType="end"/>
      </w:r>
      <w:r w:rsidR="00742AB9" w:rsidRPr="00742AB9">
        <w:rPr>
          <w:bCs/>
          <w:lang w:val="en-GB"/>
        </w:rPr>
        <w:t xml:space="preserve">. </w:t>
      </w:r>
    </w:p>
    <w:p w14:paraId="3395C6DC" w14:textId="4C48BAD5" w:rsidR="00355E80" w:rsidRDefault="00355E80" w:rsidP="00355E80">
      <w:pPr>
        <w:pStyle w:val="Kop3"/>
        <w:rPr>
          <w:lang w:val="en-GB"/>
        </w:rPr>
      </w:pPr>
      <w:bookmarkStart w:id="60" w:name="_Toc451961516"/>
      <w:r>
        <w:rPr>
          <w:lang w:val="en-GB"/>
        </w:rPr>
        <w:lastRenderedPageBreak/>
        <w:t>Safety parameters</w:t>
      </w:r>
      <w:bookmarkEnd w:id="60"/>
    </w:p>
    <w:p w14:paraId="0CB93623" w14:textId="6BF14C93" w:rsidR="000F7DA6" w:rsidRDefault="00742AB9" w:rsidP="00AE1316">
      <w:pPr>
        <w:autoSpaceDE w:val="0"/>
        <w:autoSpaceDN w:val="0"/>
        <w:adjustRightInd w:val="0"/>
        <w:spacing w:after="0" w:line="360" w:lineRule="auto"/>
        <w:jc w:val="both"/>
        <w:rPr>
          <w:bCs/>
          <w:lang w:val="en-GB"/>
        </w:rPr>
      </w:pPr>
      <w:r w:rsidRPr="00742AB9">
        <w:rPr>
          <w:bCs/>
          <w:lang w:val="en-GB"/>
        </w:rPr>
        <w:t>Analysis of safety parameters was mostly reassuring,</w:t>
      </w:r>
      <w:r>
        <w:rPr>
          <w:bCs/>
          <w:lang w:val="en-GB"/>
        </w:rPr>
        <w:t xml:space="preserve"> </w:t>
      </w:r>
      <w:r w:rsidRPr="00742AB9">
        <w:rPr>
          <w:bCs/>
          <w:lang w:val="en-GB"/>
        </w:rPr>
        <w:t>and no patients had to stop treatment because of an adverse</w:t>
      </w:r>
      <w:r w:rsidR="00447DDF">
        <w:rPr>
          <w:bCs/>
          <w:lang w:val="en-GB"/>
        </w:rPr>
        <w:t xml:space="preserve"> </w:t>
      </w:r>
      <w:r w:rsidRPr="00742AB9">
        <w:rPr>
          <w:bCs/>
          <w:lang w:val="en-GB"/>
        </w:rPr>
        <w:t>safety profile</w:t>
      </w:r>
      <w:r w:rsidR="00AE1316">
        <w:rPr>
          <w:bCs/>
          <w:lang w:val="en-GB"/>
        </w:rPr>
        <w:t>.</w:t>
      </w:r>
      <w:r w:rsidRPr="00742AB9">
        <w:rPr>
          <w:bCs/>
          <w:lang w:val="en-GB"/>
        </w:rPr>
        <w:t xml:space="preserve"> Throughout treatment,</w:t>
      </w:r>
      <w:r>
        <w:rPr>
          <w:bCs/>
          <w:lang w:val="en-GB"/>
        </w:rPr>
        <w:t xml:space="preserve"> </w:t>
      </w:r>
      <w:r w:rsidR="006F5FA0">
        <w:rPr>
          <w:bCs/>
          <w:i/>
          <w:lang w:val="en-GB"/>
        </w:rPr>
        <w:t>Hb, H</w:t>
      </w:r>
      <w:r w:rsidR="00C13DB7" w:rsidRPr="00D041E8">
        <w:rPr>
          <w:bCs/>
          <w:i/>
          <w:lang w:val="en-GB"/>
        </w:rPr>
        <w:t>ct</w:t>
      </w:r>
      <w:r w:rsidRPr="00742AB9">
        <w:rPr>
          <w:bCs/>
          <w:lang w:val="en-GB"/>
        </w:rPr>
        <w:t xml:space="preserve">, and </w:t>
      </w:r>
      <w:r w:rsidRPr="00D041E8">
        <w:rPr>
          <w:bCs/>
          <w:i/>
          <w:lang w:val="en-GB"/>
        </w:rPr>
        <w:t>creatinine</w:t>
      </w:r>
      <w:r w:rsidRPr="00742AB9">
        <w:rPr>
          <w:bCs/>
          <w:lang w:val="en-GB"/>
        </w:rPr>
        <w:t xml:space="preserve"> shifted into, but</w:t>
      </w:r>
      <w:r w:rsidR="00447DDF">
        <w:rPr>
          <w:bCs/>
          <w:lang w:val="en-GB"/>
        </w:rPr>
        <w:t xml:space="preserve"> </w:t>
      </w:r>
      <w:r w:rsidRPr="00742AB9">
        <w:rPr>
          <w:bCs/>
          <w:lang w:val="en-GB"/>
        </w:rPr>
        <w:t>did not exceed, the male reference range. Indeed, androgens</w:t>
      </w:r>
      <w:r>
        <w:rPr>
          <w:bCs/>
          <w:lang w:val="en-GB"/>
        </w:rPr>
        <w:t xml:space="preserve"> </w:t>
      </w:r>
      <w:r w:rsidRPr="00742AB9">
        <w:rPr>
          <w:bCs/>
          <w:lang w:val="en-GB"/>
        </w:rPr>
        <w:t>are known to stimulate erythropoiesis, renal</w:t>
      </w:r>
      <w:r>
        <w:rPr>
          <w:bCs/>
          <w:lang w:val="en-GB"/>
        </w:rPr>
        <w:t xml:space="preserve"> </w:t>
      </w:r>
      <w:r w:rsidRPr="00742AB9">
        <w:rPr>
          <w:bCs/>
          <w:lang w:val="en-GB"/>
        </w:rPr>
        <w:t xml:space="preserve">erythropoietin production </w:t>
      </w:r>
      <w:r w:rsidR="007A3EDC">
        <w:rPr>
          <w:bCs/>
          <w:lang w:val="en-GB"/>
        </w:rPr>
        <w:fldChar w:fldCharType="begin" w:fldLock="1"/>
      </w:r>
      <w:r w:rsidR="002C52CA">
        <w:rPr>
          <w:bCs/>
          <w:lang w:val="en-GB"/>
        </w:rPr>
        <w:instrText>ADDIN CSL_CITATION { "citationItems" : [ { "id" : "ITEM-1", "itemData" : { "ISSN" : "1701-2163", "PMID" : "22971455", "abstract" : "Hypoactive sexual desire disorder (HSDD), a subset of female sexual dysfunction, causes personal distress for surgically and naturally postmenopausal and premenopausal women. HSDD has a multi-factorial etiology, including psychosocial factors such as relationship issues and medical factors such as medications, chronic illnesses, and hormonal effects. Although no androgen therapies for female sexual dysfunction are currently approved for use in Canada, clinical trials support the efficacy and short-term safety of testosterone therapy for HSDD. We review the scientific evidence for the safety of testosterone therapy for HSDD.", "author" : [ { "dropping-particle" : "", "family" : "Al-Imari", "given" : "Lina", "non-dropping-particle" : "", "parse-names" : false, "suffix" : "" }, { "dropping-particle" : "", "family" : "Wolfman", "given" : "Wendy L", "non-dropping-particle" : "", "parse-names" : false, "suffix" : "" } ], "container-title" : "Journal of obstetrics and gynaecology Canada : JOGC = Journal d'obste\u0301trique et gyne\u0301cologie du Canada : JOGC", "id" : "ITEM-1", "issue" : "9", "issued" : { "date-parts" : [ [ "2012", "9" ] ] }, "page" : "859-65", "title" : "The safety of testosterone therapy in women.", "type" : "article-journal", "volume" : "34" }, "uris" : [ "http://www.mendeley.com/documents/?uuid=8dce7517-b9f0-4243-a9d0-b9f6b12c8f71" ] }, { "id" : "ITEM-2", "itemData" : { "ISSN" : "0301-0430", "PMID" : "1606777", "abstract" : "We conducted a prospective, randomized study in chronic hemodialysis patients in order to determine whether the erythropoietic response to low dose recombinant human erythropoietin (rHuEpo) could be enhanced by administration with androgens. Patients received rHuEpo 40 U/kg intravenously three times weekly either alone (Group 1, n = 6) or with weekly intramuscular injection of 2 mg/kg nandrolone decanoate (Group 2, n = 6) for up to 16 weeks. Baseline hct, ferritin, N-terminal parathyroid hormone, and aluminum levels were similar. The mean weekly rate of rise in hct was 0.32 +/- 0.13% in Group 1 and 0.37 +/- 0.11% in Group 2, p = NS. Three of 6 patients in Group 1, but only 1 of 6 patients in Group 2, reached the target hct of 30% within 16 weeks. Two patients in Group 2 requested that the nandrolone decanoate be stopped prior to reaching target hct because of unacceptable side effects (acne). We conclude that many chronic hemodialysis patients appear to respond adequately to rHuEpo at the dose used in our study. Nandrolone decanoate does not enhance the response rate to this rHuEpo dose and is associated with significant side effects.", "author" : [ { "dropping-particle" : "", "family" : "Berns", "given" : "J S", "non-dropping-particle" : "", "parse-names" : false, "suffix" : "" }, { "dropping-particle" : "", "family" : "Rudnick", "given" : "M R", "non-dropping-particle" : "", "parse-names" : false, "suffix" : "" }, { "dropping-particle" : "", "family" : "Cohen", "given" : "R M", "non-dropping-particle" : "", "parse-names" : false, "suffix" : "" } ], "container-title" : "Clinical nephrology", "id" : "ITEM-2", "issue" : "5", "issued" : { "date-parts" : [ [ "1992", "5" ] ] }, "page" : "264-7", "title" : "A controlled trial of recombinant human erythropoietin and nandrolone decanoate in the treatment of anemia in patients on chronic hemodialysis.", "type" : "article-journal", "volume" : "37" }, "uris" : [ "http://www.mendeley.com/documents/?uuid=9f8755a6-f1a4-480f-87f8-3a55b563049f" ] } ], "mendeley" : { "formattedCitation" : "(60,61)", "plainTextFormattedCitation" : "(60,61)", "previouslyFormattedCitation" : "(60,61)" }, "properties" : { "noteIndex" : 0 }, "schema" : "https://github.com/citation-style-language/schema/raw/master/csl-citation.json" }</w:instrText>
      </w:r>
      <w:r w:rsidR="007A3EDC">
        <w:rPr>
          <w:bCs/>
          <w:lang w:val="en-GB"/>
        </w:rPr>
        <w:fldChar w:fldCharType="separate"/>
      </w:r>
      <w:r w:rsidR="00C7364E" w:rsidRPr="00C7364E">
        <w:rPr>
          <w:bCs/>
          <w:noProof/>
          <w:lang w:val="en-GB"/>
        </w:rPr>
        <w:t>(60,61)</w:t>
      </w:r>
      <w:r w:rsidR="007A3EDC">
        <w:rPr>
          <w:bCs/>
          <w:lang w:val="en-GB"/>
        </w:rPr>
        <w:fldChar w:fldCharType="end"/>
      </w:r>
      <w:r w:rsidRPr="00742AB9">
        <w:rPr>
          <w:bCs/>
          <w:lang w:val="en-GB"/>
        </w:rPr>
        <w:t>, and muscle mass</w:t>
      </w:r>
      <w:r>
        <w:rPr>
          <w:bCs/>
          <w:lang w:val="en-GB"/>
        </w:rPr>
        <w:t xml:space="preserve"> </w:t>
      </w:r>
      <w:r w:rsidR="007A3EDC">
        <w:rPr>
          <w:bCs/>
          <w:lang w:val="en-GB"/>
        </w:rPr>
        <w:fldChar w:fldCharType="begin" w:fldLock="1"/>
      </w:r>
      <w:r w:rsidR="002C52CA">
        <w:rPr>
          <w:bCs/>
          <w:lang w:val="en-GB"/>
        </w:rPr>
        <w:instrText>ADDIN CSL_CITATION { "citationItems" : [ { "id" : "ITEM-1", "itemData" : { "DOI" : "10.2215/CJN.02870707", "ISBN" : "5511557463", "ISSN" : "1555-905X", "PMID" : "18235143", "abstract" : "BACKGROUND AND OBJECTIVES: For addressing the influence of muscle mass on serum and urinary creatinine and serum cystatin C, body composition was assessed by skinfold thickness measurement and bioelectrical impedance analyses. DESIGN, SETTING, PARTICIPANTS, &amp; MEASUREMENTS: A total of 170 healthy individuals (92 women, 78 men) were classified as sedentary or with mild or moderate/intense physical activity. Blood, 24-h urine samples, and 24-h food recall were obtained from all individuals. RESULTS: Serum and urinary creatinine correlated significantly with body weight, but the level of correlation with lean mass was even greater. There was no significant correlation between body weight and lean mass with cystatin C. Individuals with moderate/intense physical activity presented significantly lower mean body mass index (23.1 +/- 2.5 versus 25.7 +/- 3.9 kg/m(2)) and higher lean mass (55.3 +/- 10.0 versus 48.5 +/- 10.4%), serum creatinine (1.04 +/- 0.12 versus 0.95 +/- 0.17 mg/dl), urinary creatinine (1437 +/- 471 versus 1231 +/- 430 mg/24 h), protein intake (1.4 +/- 0.6 versus 1.1 +/- 0.6 g/kg per d), and meat intake (0.7 +/- 0.3 versus 0.5 +/- 0.4 g/kg per d) than the sedentary individuals. Conversely, mean serum cystatin did not differ between these two groups. A multivariate analysis of covariance showed that lean mass was significantly related to serum and urinary creatinine but not with cystatin, even after adjustment for protein/meat intake and physical activity. CONCLUSIONS: Cystatin C may represent a more adequate alternative to assess renal function in individuals with higher muscle mass when mild kidney impairment is suspected.", "author" : [ { "dropping-particle" : "", "family" : "Baxmann", "given" : "Alessandra Cal\u00e1bria", "non-dropping-particle" : "", "parse-names" : false, "suffix" : "" }, { "dropping-particle" : "", "family" : "Ahmed", "given" : "Marion Souza", "non-dropping-particle" : "", "parse-names" : false, "suffix" : "" }, { "dropping-particle" : "", "family" : "Marques", "given" : "Nat\u00e1lia Cristina", "non-dropping-particle" : "", "parse-names" : false, "suffix" : "" }, { "dropping-particle" : "", "family" : "Menon", "given" : "Viviane Barcellos", "non-dropping-particle" : "", "parse-names" : false, "suffix" : "" }, { "dropping-particle" : "", "family" : "Pereira", "given" : "Aparecido Bernardo", "non-dropping-particle" : "", "parse-names" : false, "suffix" : "" }, { "dropping-particle" : "", "family" : "Kirsztajn", "given" : "Gianna Mastroianni", "non-dropping-particle" : "", "parse-names" : false, "suffix" : "" }, { "dropping-particle" : "", "family" : "Heilberg", "given" : "Ita Pfeferman", "non-dropping-particle" : "", "parse-names" : false, "suffix" : "" } ], "container-title" : "Clinical journal of the American Society of Nephrology : CJASN", "id" : "ITEM-1", "issue" : "2", "issued" : { "date-parts" : [ [ "2008" ] ] }, "page" : "348-354", "title" : "Influence of muscle mass and physical activity on serum and urinary creatinine and serum cystatin C.", "type" : "article-journal", "volume" : "3" }, "uris" : [ "http://www.mendeley.com/documents/?uuid=22b30316-1640-4094-a5f8-a4df29366de7" ] } ], "mendeley" : { "formattedCitation" : "(62)", "plainTextFormattedCitation" : "(62)", "previouslyFormattedCitation" : "(62)" }, "properties" : { "noteIndex" : 0 }, "schema" : "https://github.com/citation-style-language/schema/raw/master/csl-citation.json" }</w:instrText>
      </w:r>
      <w:r w:rsidR="007A3EDC">
        <w:rPr>
          <w:bCs/>
          <w:lang w:val="en-GB"/>
        </w:rPr>
        <w:fldChar w:fldCharType="separate"/>
      </w:r>
      <w:r w:rsidR="00C7364E" w:rsidRPr="00C7364E">
        <w:rPr>
          <w:bCs/>
          <w:noProof/>
          <w:lang w:val="en-GB"/>
        </w:rPr>
        <w:t>(62)</w:t>
      </w:r>
      <w:r w:rsidR="007A3EDC">
        <w:rPr>
          <w:bCs/>
          <w:lang w:val="en-GB"/>
        </w:rPr>
        <w:fldChar w:fldCharType="end"/>
      </w:r>
      <w:r w:rsidRPr="00742AB9">
        <w:rPr>
          <w:bCs/>
          <w:lang w:val="en-GB"/>
        </w:rPr>
        <w:t xml:space="preserve">. Similarly, </w:t>
      </w:r>
      <w:r w:rsidRPr="00D041E8">
        <w:rPr>
          <w:bCs/>
          <w:i/>
          <w:lang w:val="en-GB"/>
        </w:rPr>
        <w:t>liver enzymes</w:t>
      </w:r>
      <w:r w:rsidRPr="00742AB9">
        <w:rPr>
          <w:bCs/>
          <w:lang w:val="en-GB"/>
        </w:rPr>
        <w:t xml:space="preserve"> increased during L+T</w:t>
      </w:r>
      <w:r w:rsidR="006E34C2">
        <w:rPr>
          <w:bCs/>
          <w:lang w:val="en-GB"/>
        </w:rPr>
        <w:t>E</w:t>
      </w:r>
      <w:r w:rsidRPr="00742AB9">
        <w:rPr>
          <w:bCs/>
          <w:lang w:val="en-GB"/>
        </w:rPr>
        <w:t xml:space="preserve"> but</w:t>
      </w:r>
      <w:r>
        <w:rPr>
          <w:bCs/>
          <w:lang w:val="en-GB"/>
        </w:rPr>
        <w:t xml:space="preserve"> </w:t>
      </w:r>
      <w:r w:rsidRPr="00742AB9">
        <w:rPr>
          <w:bCs/>
          <w:lang w:val="en-GB"/>
        </w:rPr>
        <w:t>remained well within the male reference range in all patients.</w:t>
      </w:r>
      <w:r>
        <w:rPr>
          <w:bCs/>
          <w:lang w:val="en-GB"/>
        </w:rPr>
        <w:t xml:space="preserve"> </w:t>
      </w:r>
      <w:r w:rsidR="000C1335">
        <w:rPr>
          <w:bCs/>
          <w:lang w:val="en-GB"/>
        </w:rPr>
        <w:t xml:space="preserve">Although rare, </w:t>
      </w:r>
      <w:r w:rsidRPr="00742AB9">
        <w:rPr>
          <w:bCs/>
          <w:lang w:val="en-GB"/>
        </w:rPr>
        <w:t xml:space="preserve">androgens </w:t>
      </w:r>
      <w:r w:rsidR="000C1335">
        <w:rPr>
          <w:bCs/>
          <w:lang w:val="en-GB"/>
        </w:rPr>
        <w:t>may</w:t>
      </w:r>
      <w:r w:rsidRPr="00742AB9">
        <w:rPr>
          <w:bCs/>
          <w:lang w:val="en-GB"/>
        </w:rPr>
        <w:t xml:space="preserve"> caus</w:t>
      </w:r>
      <w:r w:rsidR="000C1335">
        <w:rPr>
          <w:bCs/>
          <w:lang w:val="en-GB"/>
        </w:rPr>
        <w:t>e</w:t>
      </w:r>
      <w:r w:rsidRPr="00742AB9">
        <w:rPr>
          <w:bCs/>
          <w:lang w:val="en-GB"/>
        </w:rPr>
        <w:t xml:space="preserve"> severe liver disease</w:t>
      </w:r>
      <w:r>
        <w:rPr>
          <w:bCs/>
          <w:lang w:val="en-GB"/>
        </w:rPr>
        <w:t xml:space="preserve"> </w:t>
      </w:r>
      <w:r w:rsidR="007A3EDC">
        <w:rPr>
          <w:bCs/>
          <w:lang w:val="en-GB"/>
        </w:rPr>
        <w:fldChar w:fldCharType="begin" w:fldLock="1"/>
      </w:r>
      <w:r w:rsidR="002C52CA">
        <w:rPr>
          <w:bCs/>
          <w:lang w:val="en-GB"/>
        </w:rPr>
        <w:instrText>ADDIN CSL_CITATION { "citationItems" : [ { "id" : "ITEM-1", "itemData" : { "DOI" : "10.2165/00007256-200434080-00003", "ISBN" : "0112-1642", "ISSN" : "01121642", "PMID" : "15248788", "abstract" : "Androgenic-anabolic steroids (AAS) are synthetic derivatives of the male hormone testosterone. They can exert strong effects on the human body that may be beneficial for athletic performance. A review of the literature revealed that most laboratory studies did not investigate the actual doses of AAS currently abused in the field. Therefore, those studies may not reflect the actual (adverse) effects of steroids. The available scientific literature describes that short-term administration of these drugs by athletes can increase strength and bodyweight. Strength gains of about 5-20% of the initial strength and increments of 2-5 kg bodyweight, that may be attributed to an increase of the lean body mass, have been observed. A reduction of fat mass does not seem to occur. Although AAS administration may affect erythropoiesis and blood haemoglobin concentrations, no effect on endurance performance was observed. Little data about the effects of AAS on metabolic responses during exercise training and recovery are available and, therefore, do not allow firm conclusions. The main untoward effects of short- and long-term AAS abuse that male athletes most often self-report are an increase in sexual drive, the occurrence of acne vulgaris, increased body hair and increment of aggressive behaviour. AAS administration will disturb the regular endogenous production of testosterone and gonadotrophins that may persist for months after drug withdrawal. Cardiovascular risk factors may undergo deleterious alterations, including elevation of blood pressure and depression of serum high-density lipoprotein (HDL)-, HDL2- and HDL3-cholesterol levels. In echocardiographic studies in male athletes, AAS did not seem to affect cardiac structure and function, although in animal studies these drugs have been observed to exert hazardous effects on heart structure and function. In studies of athletes, AAS were not found to damage the liver. Psyche and behaviour seem to be strongly affected by AAS. Generally, AAS seem to induce increments of aggression and hostility. Mood disturbances (e.g. depression, [hypo-]mania, psychotic features) are likely to be dose and drug dependent. AAS dependence or withdrawal effects (such as depression) seem to occur only in a small number of AAS users. Dissatisfaction with the body and low self-esteem may lead to the so-called 'reverse anorexia syndrome' that predisposes to the start of AAS use. Many other adverse effects have been associated with AAS misuse\u2026", "author" : [ { "dropping-particle" : "", "family" : "Hartgens", "given" : "Fred", "non-dropping-particle" : "", "parse-names" : false, "suffix" : "" }, { "dropping-particle" : "", "family" : "Kuipers", "given" : "Harm", "non-dropping-particle" : "", "parse-names" : false, "suffix" : "" } ], "container-title" : "Sports Medicine", "id" : "ITEM-1", "issue" : "8", "issued" : { "date-parts" : [ [ "2004" ] ] }, "page" : "513-554", "title" : "Effects of androgenic-anabolic steroids in athletes", "type" : "article-journal", "volume" : "34" }, "uris" : [ "http://www.mendeley.com/documents/?uuid=68e9eba4-e0ce-4cdc-a8f1-0c29c63423d7" ] }, { "id" : "ITEM-2", "itemData" : { "DOI" : "10.1055/s-2008-1040724", "ISSN" : "0272-8087", "PMID" : "6287645", "abstract" : "Many hepatic lesions, ranging from subcellular alterations to malignant tumors, have been attributed to the use of anabolic steroids (AS) and contraceptive steroids (CS). These lesions that have been attributed to AS and CS are discussed with focus on the following: biochemical changes; subcellular alterations; intrahepatic cholestasis; vascular complications (sinusoidal dilatation, peliosis hepatitis, Budd-Chiari syndrome); hyperplasia and neoplasia (diffuse hyperplasia, nodular transformation, focal nodular hyperplasia, hepatocellular adenoma, hepatocellular carcinoma, and miscellaneous malignant tumors); and miscellaneous effects (effects of preexisting liver disease, cholelithiasis, and pancreatitis). OCs have a number of physiologic effects on the liver. These include decreased bile flow, diminished secretion of organic anions, and decreased synthesis and secretion of bile acids. Retention of bromosulfophthalein has been noted with AS during late pregnancy and in the puerperium. It is well established that the CS can lead to elevations of serum ceruloplasmin and copper levels. Subcellular alterations have been reported in both humans and rats on AS or women on CS and involve multiple organelles of the several systems of the liver. Both AS and CS have been implicated in intrahepatic cholestasis. Jaundice usually develops after 2-5 months of therapy with AS or after 3 months of OC use. The lesions attributed to CS and AS can involve any of the systems of the liver. At times more than 1 system is affected simultaneously. Most of the steroid related lesions resemble similar ones caused by other etiologies. Some, such as peliosis hepatitis, are rarely related to other etiologies, but others can be termed steroid specific. A number of diseases associated with the CS or AS also occur in pregnancy. Acute fatty metamorphosis of pregnancy and the periportal hemorrhagic necrosis characteristic of eclampsia have not been reported in patients on CS. Spontaneous rupture of the liver during pregnancy has not been attributed to the CS.", "author" : [ { "dropping-particle" : "", "family" : "Ishak", "given" : "K G", "non-dropping-particle" : "", "parse-names" : false, "suffix" : "" } ], "container-title" : "Seminars in liver disease", "id" : "ITEM-2", "issue" : "2", "issued" : { "date-parts" : [ [ "1981", "5" ] ] }, "page" : "116-28", "title" : "Hepatic lesions caused by anabolic and contraceptive steroids.", "type" : "article-journal", "volume" : "1" }, "uris" : [ "http://www.mendeley.com/documents/?uuid=5d08abb2-47ba-4dac-9f4b-2152903ee160" ] }, { "id" : "ITEM-3", "itemData" : { "ISSN" : "0106-9543", "PMID" : "1535676", "abstract" : "This review examines the liver-damaging side effects of anabolic-androgenic steroids (AAS). It seems that AAS can cause development of peliosis hepatis, subcellular changes of hepatocytes, hepatocellular hyperplasia and hepatocellular adenomas. On the other hand, it has not been convincingly proved that AAS can cause development of hepatocellular carcinomas when used in the usual therapeutic doses. Tumours reported as hepatocellular carcinomas caused by AAS seems to be hyperplastic lesions of a benign nature able to regress with withdrawal of the putative agent. The effects of untraditional combinations and high-dose AAS are not yet known, leaving the possibility of a carcinogenic effect in those cases.", "author" : [ { "dropping-particle" : "", "family" : "S\u00f8e", "given" : "K L", "non-dropping-particle" : "", "parse-names" : false, "suffix" : "" }, { "dropping-particle" : "", "family" : "S\u00f8e", "given" : "M", "non-dropping-particle" : "", "parse-names" : false, "suffix" : "" }, { "dropping-particle" : "", "family" : "Gluud", "given" : "C", "non-dropping-particle" : "", "parse-names" : false, "suffix" : "" } ], "container-title" : "Liver", "id" : "ITEM-3", "issue" : "2", "issued" : { "date-parts" : [ [ "1992", "4" ] ] }, "page" : "73-9", "title" : "Liver pathology associated with the use of anabolic-androgenic steroids.", "type" : "article-journal", "volume" : "12" }, "uris" : [ "http://www.mendeley.com/documents/?uuid=323c7204-7c47-4906-b945-346b172161cd" ] }, { "id" : "ITEM-4", "itemData" : { "DOI" : "10.1136/bmj.2.5969.471", "ISBN" : "0007-1447", "ISSN" : "0959-8138", "PMID" : "125133", "abstract" : "Thirteen experienced male weightlifters taking high-protein diets and regular exercise took part in a double-blind crossover trial of methandienone 10 or 25 mg/day to seeif the drug improved athletic performance.  Their improvemments were significantly greater on methandienone than on placebo; their body weights rose (though this seemed to be associated with water retention); and systolic blood pressure rose significantly.  Methandienone caused many side effects, and three men had to withdraw because of them.  All side effects disappeared after the drug was stopped.  Anabolic steroids are effective only when given combination with exercise and high-protein diet. We deprecate their use in athletics but can suggest no way of stopping it.", "author" : [ { "dropping-particle" : "", "family" : "Freed", "given" : "D L", "non-dropping-particle" : "", "parse-names" : false, "suffix" : "" }, { "dropping-particle" : "", "family" : "Banks", "given" : "a J", "non-dropping-particle" : "", "parse-names" : false, "suffix" : "" }, { "dropping-particle" : "", "family" : "Longson", "given" : "D", "non-dropping-particle" : "", "parse-names" : false, "suffix" : "" }, { "dropping-particle" : "", "family" : "Burley", "given" : "D M", "non-dropping-particle" : "", "parse-names" : false, "suffix" : "" } ], "container-title" : "British medical journal", "id" : "ITEM-4", "issue" : "May", "issued" : { "date-parts" : [ [ "1975" ] ] }, "page" : "471-473", "title" : "Anabolic steroids in athelics:  crossover double-blind trial on weightlifters.", "type" : "article-journal", "volume" : "2" }, "uris" : [ "http://www.mendeley.com/documents/?uuid=ab99f391-c0c0-413c-8c42-20c98b77980a" ] }, { "id" : "ITEM-5", "itemData" : { "DOI" : "10.1055/s-2007-1024972", "ISSN" : "0172-4622", "PMID" : "3366514", "abstract" : "The effects of self-administered anabolic steroids (AS) on lipoproteins, liver function, and blood pressure were studied in male amateur body builders. Twenty body builders were studied at the end of a course of AS (group 1) and 42 body builders were studied after discontinuation of the AS for a mean of 5 months (group 2). Sixteen body builders were studied after discontinuation of AS for at least 2 months and at the end of a 9-week course of AS (group 3). A group of 13 body builders who never used AS served as a control group. Both groups 1 and 2 showed higher levels of transaminas and a higher systolic blood pressure than the controls (P less than 0.05). Group 3 showed an increase of the transaminases an a slight but significant increase of systolic blood pressure (+3 mm Hg) and heart rate (+7 bts/min) after one course of AS (P less than 0.05). Group 1 showed a considerably lower high-density lipoprotein cholesterol (HDLC) (P less than 0.001), a higher low-density lipoprotein cholesterol (LDLC) (P less than 0.05), and a lower apoprotein A-l/B ratio (Apo A-l/ApoB) (P less than 0.001) than the controls and group 2. The ratio of LDLC/HDLC in group 1 was fourfold higher than in the controls (P less than 0.01). In group 3 HDLC decreased from 1.18 +/- 0.05 to 0.60 +/- 0.08 mmol/l (P less than 0.001) and LDLC increased from 3.97 +/- 0.39 to 5.74 +/- 0.71 mmol/l (P less than 0.01).(ABSTRACT TRUNCATED AT 250 WORDS)", "author" : [ { "dropping-particle" : "", "family" : "Lenders", "given" : "J W", "non-dropping-particle" : "", "parse-names" : false, "suffix" : "" }, { "dropping-particle" : "", "family" : "Demacker", "given" : "P N", "non-dropping-particle" : "", "parse-names" : false, "suffix" : "" }, { "dropping-particle" : "", "family" : "Vos", "given" : "J A", "non-dropping-particle" : "", "parse-names" : false, "suffix" : "" }, { "dropping-particle" : "", "family" : "Jansen", "given" : "P L", "non-dropping-particle" : "", "parse-names" : false, "suffix" : "" }, { "dropping-particle" : "", "family" : "Hoitsma", "given" : "A J", "non-dropping-particle" : "", "parse-names" : false, "suffix" : "" }, { "dropping-particle" : "", "family" : "'t Laar", "given" : "A", "non-dropping-particle" : "van", "parse-names" : false, "suffix" : "" }, { "dropping-particle" : "", "family" : "Thien", "given" : "T", "non-dropping-particle" : "", "parse-names" : false, "suffix" : "" } ], "container-title" : "International journal of sports medicine", "id" : "ITEM-5", "issue" : "1", "issued" : { "date-parts" : [ [ "1988", "2" ] ] }, "page" : "19-23", "title" : "Deleterious effects of anabolic steroids on serum lipoproteins, blood pressure, and liver function in amateur body builders.", "type" : "article-journal", "volume" : "9" }, "uris" : [ "http://www.mendeley.com/documents/?uuid=1d570210-313a-4609-a65d-02c48be25cb2" ] }, { "id" : "ITEM-6", "itemData" : { "ISSN" : "0306-3674", "PMID" : "3995222", "abstract" : "Haematological and hepatic effects of testosterone/anabolic steroid self-administration were investigated in five power athletes during 26 weeks of training. During steroid administration blood haematocrit had increased 9.6% (p less than .05) in the study group (n = 5), but not in the control group (n = 6). This erythropoietic phenomenon was supported by increased (p less than .05) RBC and unchanged MCV. Blood haemoglobin concentration did not change markedly and consequently MCHC level in the study group decreased significantly (p less than .001). Also the erythrocyte sedimentation rate decreased (p less than .05) in the study group. The mean values of serum alanine aminotransferase, alkaline phosphatase and gamma-glutamyltransferase were and remained within normal range in both groups, although those of the study group were higher. The mean values of serum aspartate aminotransferase exceeded the normal range (56 U/l, at highest) but this may be of muscular rather than hepatic origin because of the severe training. It can be concluded that erythropoiesis was stimulated and liver function mildly impaired due to sustained high-dose testosterone/anabolic steroid administration.", "author" : [ { "dropping-particle" : "", "family" : "Al\u00e9n", "given" : "M", "non-dropping-particle" : "", "parse-names" : false, "suffix" : "" } ], "container-title" : "British journal of sports medicine", "id" : "ITEM-6", "issue" : "1", "issued" : { "date-parts" : [ [ "1985", "3" ] ] }, "page" : "15-20", "title" : "Androgenic steroid effects on liver and red cells.", "type" : "article-journal", "volume" : "19" }, "uris" : [ "http://www.mendeley.com/documents/?uuid=c709eb5c-78f2-4fb7-b464-13275c6148dc" ] } ], "mendeley" : { "formattedCitation" : "(59,63\u201367)", "plainTextFormattedCitation" : "(59,63\u201367)", "previouslyFormattedCitation" : "(59,63\u201367)" }, "properties" : { "noteIndex" : 0 }, "schema" : "https://github.com/citation-style-language/schema/raw/master/csl-citation.json" }</w:instrText>
      </w:r>
      <w:r w:rsidR="007A3EDC">
        <w:rPr>
          <w:bCs/>
          <w:lang w:val="en-GB"/>
        </w:rPr>
        <w:fldChar w:fldCharType="separate"/>
      </w:r>
      <w:r w:rsidR="00C7364E" w:rsidRPr="00C7364E">
        <w:rPr>
          <w:bCs/>
          <w:noProof/>
          <w:lang w:val="en-GB"/>
        </w:rPr>
        <w:t>(59,63–67)</w:t>
      </w:r>
      <w:r w:rsidR="007A3EDC">
        <w:rPr>
          <w:bCs/>
          <w:lang w:val="en-GB"/>
        </w:rPr>
        <w:fldChar w:fldCharType="end"/>
      </w:r>
      <w:r w:rsidRPr="00742AB9">
        <w:rPr>
          <w:bCs/>
          <w:lang w:val="en-GB"/>
        </w:rPr>
        <w:t xml:space="preserve">, </w:t>
      </w:r>
      <w:r w:rsidR="000C1335">
        <w:rPr>
          <w:bCs/>
          <w:lang w:val="en-GB"/>
        </w:rPr>
        <w:t>therefore</w:t>
      </w:r>
      <w:r w:rsidRPr="00742AB9">
        <w:rPr>
          <w:bCs/>
          <w:lang w:val="en-GB"/>
        </w:rPr>
        <w:t xml:space="preserve"> monitoring </w:t>
      </w:r>
      <w:r w:rsidR="00502391">
        <w:rPr>
          <w:bCs/>
          <w:lang w:val="en-GB"/>
        </w:rPr>
        <w:t xml:space="preserve">of liver enzymes </w:t>
      </w:r>
      <w:r w:rsidRPr="00742AB9">
        <w:rPr>
          <w:bCs/>
          <w:lang w:val="en-GB"/>
        </w:rPr>
        <w:t>during treatment</w:t>
      </w:r>
      <w:r w:rsidR="000C1335">
        <w:rPr>
          <w:bCs/>
          <w:lang w:val="en-GB"/>
        </w:rPr>
        <w:t xml:space="preserve"> is advised</w:t>
      </w:r>
      <w:r w:rsidRPr="00742AB9">
        <w:rPr>
          <w:bCs/>
          <w:lang w:val="en-GB"/>
        </w:rPr>
        <w:t>.</w:t>
      </w:r>
      <w:r>
        <w:rPr>
          <w:bCs/>
          <w:lang w:val="en-GB"/>
        </w:rPr>
        <w:t xml:space="preserve"> </w:t>
      </w:r>
      <w:r w:rsidRPr="00742AB9">
        <w:rPr>
          <w:bCs/>
          <w:lang w:val="en-GB"/>
        </w:rPr>
        <w:t>Consistent with other studies</w:t>
      </w:r>
      <w:r w:rsidR="001B2A6E">
        <w:rPr>
          <w:bCs/>
          <w:lang w:val="en-GB"/>
        </w:rPr>
        <w:t xml:space="preserve"> </w:t>
      </w:r>
      <w:r w:rsidR="007A3EDC">
        <w:rPr>
          <w:bCs/>
          <w:lang w:val="en-GB"/>
        </w:rPr>
        <w:fldChar w:fldCharType="begin" w:fldLock="1"/>
      </w:r>
      <w:r w:rsidR="002C52CA">
        <w:rPr>
          <w:bCs/>
          <w:lang w:val="en-GB"/>
        </w:rPr>
        <w:instrText>ADDIN CSL_CITATION { "citationItems" : [ { "id" : "ITEM-1", "itemData" : { "ISSN" : "00778923", "PMID" : "102234", "abstract" : "Gestamimetic amounts of progesterone enhance basal and glucose-stimulated insulin production. Contraceptive doses of synthetic progestins cause a moderate increase or no change in glucose-stimulated insulin production, depending on route of administration and species tested. Estrogens potentiate the insulinotropic effects of progesterone and the synthetic progestins. Basal serum triglyceride concentrations are generally unaffected by progesterone or 17 alpha-acetoxyprogesterone treatment but may decrease during 19-nortestosterone administration. Glucose tolerance does not change during treatment with gestamimetic doses of progesterone alone but may improve in rats and monkeys during concurrent estrogen administration. By contrast, deterioration of glucose tolerance is observed in women treated concurrently with synthetic estrogen plus 19-nortestosterone derivatives and, occasionally, with 19-nortestosterone derivatives alone. No consistent changes in glucose metabolism have been observed after treatment with 17 alpha-acetoxyprogesterone derivatives alone. The cause of the species-related differences in glucose metabolism during 19-nortestosterone treatment is obscure.", "author" : [ { "dropping-particle" : "", "family" : "Beck", "given" : "P", "non-dropping-particle" : "", "parse-names" : false, "suffix" : "" } ], "container-title" : "Ann N Y Acad Sci", "id" : "ITEM-1", "issued" : { "date-parts" : [ [ "1977" ] ] }, "page" : "434-445", "title" : "Effect of progestins on glucose and lipid metabolism.", "type" : "article-journal", "volume" : "286" }, "uris" : [ "http://www.mendeley.com/documents/?uuid=9818d9ab-9909-4a99-8ebd-9dc8864b6d2e" ] }, { "id" : "ITEM-2", "itemData" : { "PMID" : "723", "author" : [ { "dropping-particle" : "", "family" : "Beck", "given" : "P", "non-dropping-particle" : "", "parse-names" : false, "suffix" : "" } ], "container-title" : "Metabolism", "id" : "ITEM-2", "issue" : "6", "issued" : { "date-parts" : [ [ "1973" ] ] }, "page" : "841-855", "title" : "Contraceptive steroids: modification of carbohydrate and lipid metabolism", "type" : "article-journal", "volume" : "22" }, "uris" : [ "http://www.mendeley.com/documents/?uuid=6ae330b3-6691-49c1-94ad-c32ede6c102f" ] }, { "id" : "ITEM-3", "itemData" : { "ISSN" : "1701-2163", "PMID" : "22971455", "abstract" : "Hypoactive sexual desire disorder (HSDD), a subset of female sexual dysfunction, causes personal distress for surgically and naturally postmenopausal and premenopausal women. HSDD has a multi-factorial etiology, including psychosocial factors such as relationship issues and medical factors such as medications, chronic illnesses, and hormonal effects. Although no androgen therapies for female sexual dysfunction are currently approved for use in Canada, clinical trials support the efficacy and short-term safety of testosterone therapy for HSDD. We review the scientific evidence for the safety of testosterone therapy for HSDD.", "author" : [ { "dropping-particle" : "", "family" : "Al-Imari", "given" : "Lina", "non-dropping-particle" : "", "parse-names" : false, "suffix" : "" }, { "dropping-particle" : "", "family" : "Wolfman", "given" : "Wendy L", "non-dropping-particle" : "", "parse-names" : false, "suffix" : "" } ], "container-title" : "Journal of obstetrics and gynaecology Canada : JOGC = Journal d'obste\u0301trique et gyne\u0301cologie du Canada : JOGC", "id" : "ITEM-3", "issue" : "9", "issued" : { "date-parts" : [ [ "2012", "9" ] ] }, "page" : "859-65", "title" : "The safety of testosterone therapy in women.", "type" : "article-journal", "volume" : "34" }, "uris" : [ "http://www.mendeley.com/documents/?uuid=8dce7517-b9f0-4243-a9d0-b9f6b12c8f71" ] } ], "mendeley" : { "formattedCitation" : "(29,30,60)", "plainTextFormattedCitation" : "(29,30,60)", "previouslyFormattedCitation" : "(29,30,60)" }, "properties" : { "noteIndex" : 0 }, "schema" : "https://github.com/citation-style-language/schema/raw/master/csl-citation.json" }</w:instrText>
      </w:r>
      <w:r w:rsidR="007A3EDC">
        <w:rPr>
          <w:bCs/>
          <w:lang w:val="en-GB"/>
        </w:rPr>
        <w:fldChar w:fldCharType="separate"/>
      </w:r>
      <w:r w:rsidR="00C7364E" w:rsidRPr="00C7364E">
        <w:rPr>
          <w:bCs/>
          <w:noProof/>
          <w:lang w:val="en-GB"/>
        </w:rPr>
        <w:t>(29,30,60)</w:t>
      </w:r>
      <w:r w:rsidR="007A3EDC">
        <w:rPr>
          <w:bCs/>
          <w:lang w:val="en-GB"/>
        </w:rPr>
        <w:fldChar w:fldCharType="end"/>
      </w:r>
      <w:r w:rsidRPr="00742AB9">
        <w:rPr>
          <w:bCs/>
          <w:lang w:val="en-GB"/>
        </w:rPr>
        <w:t>, no</w:t>
      </w:r>
      <w:r>
        <w:rPr>
          <w:bCs/>
          <w:lang w:val="en-GB"/>
        </w:rPr>
        <w:t xml:space="preserve"> </w:t>
      </w:r>
      <w:r w:rsidRPr="00742AB9">
        <w:rPr>
          <w:bCs/>
          <w:lang w:val="en-GB"/>
        </w:rPr>
        <w:t xml:space="preserve">changes in </w:t>
      </w:r>
      <w:r w:rsidRPr="00D041E8">
        <w:rPr>
          <w:bCs/>
          <w:i/>
          <w:lang w:val="en-GB"/>
        </w:rPr>
        <w:t>HbA1c, insulin, glucose,</w:t>
      </w:r>
      <w:r w:rsidRPr="00742AB9">
        <w:rPr>
          <w:bCs/>
          <w:lang w:val="en-GB"/>
        </w:rPr>
        <w:t xml:space="preserve"> or </w:t>
      </w:r>
      <w:r w:rsidRPr="00D041E8">
        <w:rPr>
          <w:bCs/>
          <w:i/>
          <w:lang w:val="en-GB"/>
        </w:rPr>
        <w:t>HOMA</w:t>
      </w:r>
      <w:r w:rsidRPr="00742AB9">
        <w:rPr>
          <w:bCs/>
          <w:lang w:val="en-GB"/>
        </w:rPr>
        <w:t xml:space="preserve"> index</w:t>
      </w:r>
      <w:r>
        <w:rPr>
          <w:bCs/>
          <w:lang w:val="en-GB"/>
        </w:rPr>
        <w:t xml:space="preserve"> </w:t>
      </w:r>
      <w:r w:rsidRPr="00742AB9">
        <w:rPr>
          <w:bCs/>
          <w:lang w:val="en-GB"/>
        </w:rPr>
        <w:t>were found during the entire course of treatment. Importantly,</w:t>
      </w:r>
      <w:r>
        <w:rPr>
          <w:bCs/>
          <w:lang w:val="en-GB"/>
        </w:rPr>
        <w:t xml:space="preserve"> </w:t>
      </w:r>
      <w:r w:rsidRPr="00742AB9">
        <w:rPr>
          <w:bCs/>
          <w:lang w:val="en-GB"/>
        </w:rPr>
        <w:t xml:space="preserve">our treatment regimen resulted in a more </w:t>
      </w:r>
      <w:r w:rsidR="00921429" w:rsidRPr="00742AB9">
        <w:rPr>
          <w:bCs/>
          <w:lang w:val="en-GB"/>
        </w:rPr>
        <w:t>unfavourable</w:t>
      </w:r>
      <w:r>
        <w:rPr>
          <w:bCs/>
          <w:lang w:val="en-GB"/>
        </w:rPr>
        <w:t xml:space="preserve"> </w:t>
      </w:r>
      <w:r w:rsidRPr="00D041E8">
        <w:rPr>
          <w:bCs/>
          <w:i/>
          <w:lang w:val="en-GB"/>
        </w:rPr>
        <w:t>lipid profile</w:t>
      </w:r>
      <w:r w:rsidRPr="00742AB9">
        <w:rPr>
          <w:bCs/>
          <w:lang w:val="en-GB"/>
        </w:rPr>
        <w:t>. Similar findings have been</w:t>
      </w:r>
      <w:r>
        <w:rPr>
          <w:bCs/>
          <w:lang w:val="en-GB"/>
        </w:rPr>
        <w:t xml:space="preserve"> </w:t>
      </w:r>
      <w:r w:rsidRPr="00742AB9">
        <w:rPr>
          <w:bCs/>
          <w:lang w:val="en-GB"/>
        </w:rPr>
        <w:t xml:space="preserve">reported, mostly in adults </w:t>
      </w:r>
      <w:r w:rsidR="007A3EDC">
        <w:rPr>
          <w:bCs/>
          <w:lang w:val="en-GB"/>
        </w:rPr>
        <w:fldChar w:fldCharType="begin" w:fldLock="1"/>
      </w:r>
      <w:r w:rsidR="002C52CA">
        <w:rPr>
          <w:bCs/>
          <w:lang w:val="en-GB"/>
        </w:rPr>
        <w:instrText>ADDIN CSL_CITATION { "citationItems" : [ { "id" : "ITEM-1", "itemData" : { "ISSN" : "0301-2115", "PMID" : "3161762", "abstract" : "The effects of 0.125 mg daily doses of the new progestagen, desogestrel, 0.125 mg of levonorgestrel or 5 mg of lynestrenol on serum sex hormone binding globulin (SHBG), cortisol binding globulin (CBG), ceruloplasmin and HDL-cholesterol were studied in 30 healthy female volunteers to compare the possible androgenic and oestrogenic effects of these contraceptive steroids in vivo. All the progestagens in the applied dosages decreased SHBG and HDL-cholesterol concentrations, suggesting some androgenicity. Lynestrenol increased ceruloplasmin and CBG concentrations, indicating weak oestrogenic effects of the steroid. During desogestrel treatments, CBG and ceruloplasmin concentrations remained unchanged. After 30 days treatment with levonorgestrel there was a slight decrease (P less than 0.05) in ceruloplasmin concentrations. Thirty days after finishing the progestagen treatments serum protein concentrations were normal. In conclusion, at the doses used and under the present test conditions the progestagens studied had a weak androgen-like effect and lynestrenol also showed weak oestrogenic activity, as determined by their effects on serum proteins.", "author" : [ { "dropping-particle" : "", "family" : "Ruokonen", "given" : "a", "non-dropping-particle" : "", "parse-names" : false, "suffix" : "" }, { "dropping-particle" : "", "family" : "K\u00e4\u00e4r", "given" : "K", "non-dropping-particle" : "", "parse-names" : false, "suffix" : "" } ], "container-title" : "European journal of obstetrics, gynecology, and reproductive biology", "id" : "ITEM-1", "issue" : "1", "issued" : { "date-parts" : [ [ "1985" ] ] }, "page" : "13-8", "title" : "Effects of desogestrel, levonorgestrel and lynestrenol on serum sex hormone binding globulin, cortisol binding globulin, ceruloplasmin and HDL-cholesterol.", "type" : "article-journal", "volume" : "20" }, "uris" : [ "http://www.mendeley.com/documents/?uuid=0faf6367-5e94-4b2a-b9da-eab4e32eda84" ] }, { "id" : "ITEM-2", "itemData" : { "ISSN" : "0378-5122", "PMID" : "7731386", "abstract" : "The lipid and lipoprotein profiles of 39 female transsexuals, exposed to testosterone esters (250 mg monthly) for an average duration of 33 months after their sex reassignment operation (group 2), were compared to those of 29 normal menstruating female transsexuals prior to starting androgen therapy (group 1). A third group, comprising 17 post-operative female transsexuals were studied while on, and after stopping their androgen therapy for 6-12 months (group 3). The average concentration of testosterone in androgenized women was comparable to those found in normal males and levels of SHBG were significantly lower than those in the control group. No significant difference was noted between all levels of lipids and lipoproteins in pre-operative subjects of group 1 and corresponding levels in subjects of group 3 after they had stopped their androgen therapy for 6-12 months. Significantly higher levels of triglyceride (Trig), total cholesterol (TC), low-density lipoprotein (LDL-C) and apolipoprotein-B (Apo B) and a significantly lower level of high-density lipoprotein-cholesterol (HDL-C) were noted in androgenized women (group 2) when compared to controls (group 1). The two atherogenic indices, LDL-C/HDL-C and Apo-AI/Apo-B were significantly raised and lowered, respectively. Similar results were noted when comparing lipid and lipoprotein profiles in subjects of group 3 while they were on and after stopping their androgen therapy. Results from this study indicate that testosterone, per se, at supraphysiological doses may promote atherogenicity in women. Furthermore, the male predilection for coronary vascular diseases (CVD) may be due to the adverse effects of higher androgen levels on lipid and lipoprotein profiles.", "author" : [ { "dropping-particle" : "", "family" : "Goh", "given" : "H H", "non-dropping-particle" : "", "parse-names" : false, "suffix" : "" }, { "dropping-particle" : "", "family" : "Loke", "given" : "D F", "non-dropping-particle" : "", "parse-names" : false, "suffix" : "" }, { "dropping-particle" : "", "family" : "Ratnam", "given" : "S S", "non-dropping-particle" : "", "parse-names" : false, "suffix" : "" } ], "container-title" : "Maturitas", "id" : "ITEM-2", "issue" : "1", "issued" : { "date-parts" : [ [ "1995" ] ] }, "page" : "65-70", "title" : "The impact of long-term testosterone replacement therapy on lipid and lipoprotein profiles in women.", "type" : "article-journal", "volume" : "21" }, "uris" : [ "http://www.mendeley.com/documents/?uuid=e50581ef-ca0d-48eb-b629-0a54954cd1f3" ] } ], "mendeley" : { "formattedCitation" : "(68,69)", "plainTextFormattedCitation" : "(68,69)", "previouslyFormattedCitation" : "(68,69)" }, "properties" : { "noteIndex" : 0 }, "schema" : "https://github.com/citation-style-language/schema/raw/master/csl-citation.json" }</w:instrText>
      </w:r>
      <w:r w:rsidR="007A3EDC">
        <w:rPr>
          <w:bCs/>
          <w:lang w:val="en-GB"/>
        </w:rPr>
        <w:fldChar w:fldCharType="separate"/>
      </w:r>
      <w:r w:rsidR="00C7364E" w:rsidRPr="00C7364E">
        <w:rPr>
          <w:bCs/>
          <w:noProof/>
          <w:lang w:val="en-GB"/>
        </w:rPr>
        <w:t>(68,69)</w:t>
      </w:r>
      <w:r w:rsidR="007A3EDC">
        <w:rPr>
          <w:bCs/>
          <w:lang w:val="en-GB"/>
        </w:rPr>
        <w:fldChar w:fldCharType="end"/>
      </w:r>
      <w:r w:rsidRPr="00742AB9">
        <w:rPr>
          <w:bCs/>
          <w:lang w:val="en-GB"/>
        </w:rPr>
        <w:t>. However, there are</w:t>
      </w:r>
      <w:r>
        <w:rPr>
          <w:bCs/>
          <w:lang w:val="en-GB"/>
        </w:rPr>
        <w:t xml:space="preserve"> </w:t>
      </w:r>
      <w:r w:rsidRPr="00742AB9">
        <w:rPr>
          <w:bCs/>
          <w:lang w:val="en-GB"/>
        </w:rPr>
        <w:t>currently no data available on the metabolic profile and</w:t>
      </w:r>
      <w:r>
        <w:rPr>
          <w:bCs/>
          <w:lang w:val="en-GB"/>
        </w:rPr>
        <w:t xml:space="preserve"> </w:t>
      </w:r>
      <w:r w:rsidRPr="00742AB9">
        <w:rPr>
          <w:bCs/>
          <w:lang w:val="en-GB"/>
        </w:rPr>
        <w:t xml:space="preserve">cardiovascular risk in older adult transmen who changed their gender during adolescence </w:t>
      </w:r>
      <w:r w:rsidR="007A3EDC">
        <w:rPr>
          <w:bCs/>
          <w:lang w:val="en-GB"/>
        </w:rPr>
        <w:fldChar w:fldCharType="begin" w:fldLock="1"/>
      </w:r>
      <w:r w:rsidR="002C52CA">
        <w:rPr>
          <w:bCs/>
          <w:lang w:val="en-GB"/>
        </w:rPr>
        <w:instrText>ADDIN CSL_CITATION { "citationItems" : [ { "id" : "ITEM-1", "itemData" : { "DOI" : "10.1016/j.beem.2015.01.004", "ISSN" : "1521690X", "author" : [ { "dropping-particle" : "", "family" : "Cohen-Kettenis", "given" : "Peggy T.", "non-dropping-particle" : "", "parse-names" : false, "suffix" : "" }, { "dropping-particle" : "", "family" : "Klink", "given" : "Daniel", "non-dropping-particle" : "", "parse-names" : false, "suffix" : "" } ], "container-title" : "Best Practice &amp; Research Clinical Endocrinology &amp; Metabolism", "id" : "ITEM-1", "issue" : "3", "issued" : { "date-parts" : [ [ "2015" ] ] }, "page" : "485-495", "publisher" : "Elsevier Ltd", "title" : "Adolescents with gender dysphoria", "type" : "article-journal", "volume" : "29" }, "uris" : [ "http://www.mendeley.com/documents/?uuid=1bb33cf8-c0ba-4d65-9582-de1f5581cdd8" ] } ], "mendeley" : { "formattedCitation" : "(49)", "plainTextFormattedCitation" : "(49)", "previouslyFormattedCitation" : "(49)" }, "properties" : { "noteIndex" : 0 }, "schema" : "https://github.com/citation-style-language/schema/raw/master/csl-citation.json" }</w:instrText>
      </w:r>
      <w:r w:rsidR="007A3EDC">
        <w:rPr>
          <w:bCs/>
          <w:lang w:val="en-GB"/>
        </w:rPr>
        <w:fldChar w:fldCharType="separate"/>
      </w:r>
      <w:r w:rsidR="00C7364E" w:rsidRPr="00C7364E">
        <w:rPr>
          <w:bCs/>
          <w:noProof/>
          <w:lang w:val="en-GB"/>
        </w:rPr>
        <w:t>(49)</w:t>
      </w:r>
      <w:r w:rsidR="007A3EDC">
        <w:rPr>
          <w:bCs/>
          <w:lang w:val="en-GB"/>
        </w:rPr>
        <w:fldChar w:fldCharType="end"/>
      </w:r>
      <w:r w:rsidRPr="00742AB9">
        <w:rPr>
          <w:bCs/>
          <w:lang w:val="en-GB"/>
        </w:rPr>
        <w:t>; this finding merits</w:t>
      </w:r>
      <w:r>
        <w:rPr>
          <w:bCs/>
          <w:lang w:val="en-GB"/>
        </w:rPr>
        <w:t xml:space="preserve"> </w:t>
      </w:r>
      <w:r w:rsidRPr="00742AB9">
        <w:rPr>
          <w:bCs/>
          <w:lang w:val="en-GB"/>
        </w:rPr>
        <w:t>attention, and further research in trans</w:t>
      </w:r>
      <w:r w:rsidR="001A6EAE">
        <w:rPr>
          <w:bCs/>
          <w:lang w:val="en-GB"/>
        </w:rPr>
        <w:t>gender</w:t>
      </w:r>
      <w:r w:rsidRPr="00742AB9">
        <w:rPr>
          <w:bCs/>
          <w:lang w:val="en-GB"/>
        </w:rPr>
        <w:t xml:space="preserve"> adults focusing</w:t>
      </w:r>
      <w:r w:rsidR="00447DDF">
        <w:rPr>
          <w:bCs/>
          <w:lang w:val="en-GB"/>
        </w:rPr>
        <w:t xml:space="preserve"> </w:t>
      </w:r>
      <w:r w:rsidRPr="00742AB9">
        <w:rPr>
          <w:bCs/>
          <w:lang w:val="en-GB"/>
        </w:rPr>
        <w:t>on early determinants of cardiovascular disease</w:t>
      </w:r>
      <w:r>
        <w:rPr>
          <w:bCs/>
          <w:lang w:val="en-GB"/>
        </w:rPr>
        <w:t xml:space="preserve"> </w:t>
      </w:r>
      <w:r w:rsidRPr="00742AB9">
        <w:rPr>
          <w:bCs/>
          <w:lang w:val="en-GB"/>
        </w:rPr>
        <w:t>such as adiponectin or carotid artery intima media thickness</w:t>
      </w:r>
      <w:r>
        <w:rPr>
          <w:bCs/>
          <w:lang w:val="en-GB"/>
        </w:rPr>
        <w:t xml:space="preserve"> </w:t>
      </w:r>
      <w:r w:rsidRPr="00742AB9">
        <w:rPr>
          <w:bCs/>
          <w:lang w:val="en-GB"/>
        </w:rPr>
        <w:t>is warranted.</w:t>
      </w:r>
      <w:r>
        <w:rPr>
          <w:bCs/>
          <w:lang w:val="en-GB"/>
        </w:rPr>
        <w:t xml:space="preserve"> </w:t>
      </w:r>
    </w:p>
    <w:p w14:paraId="40AEF715" w14:textId="511803E2" w:rsidR="00355E80" w:rsidRDefault="00355E80" w:rsidP="00355E80">
      <w:pPr>
        <w:pStyle w:val="Kop3"/>
        <w:rPr>
          <w:lang w:val="en-GB"/>
        </w:rPr>
      </w:pPr>
      <w:bookmarkStart w:id="61" w:name="_Toc451961517"/>
      <w:r>
        <w:rPr>
          <w:lang w:val="en-GB"/>
        </w:rPr>
        <w:t>Hormones</w:t>
      </w:r>
      <w:bookmarkEnd w:id="61"/>
    </w:p>
    <w:p w14:paraId="5AFDC0AA" w14:textId="5FA68A84" w:rsidR="00502AFB" w:rsidRDefault="00742AB9" w:rsidP="00B23F29">
      <w:pPr>
        <w:autoSpaceDE w:val="0"/>
        <w:autoSpaceDN w:val="0"/>
        <w:adjustRightInd w:val="0"/>
        <w:spacing w:after="0" w:line="360" w:lineRule="auto"/>
        <w:jc w:val="both"/>
        <w:rPr>
          <w:bCs/>
          <w:lang w:val="en-GB"/>
        </w:rPr>
      </w:pPr>
      <w:r w:rsidRPr="00742AB9">
        <w:rPr>
          <w:bCs/>
          <w:lang w:val="en-GB"/>
        </w:rPr>
        <w:t xml:space="preserve">The expected hormonal changes of L were </w:t>
      </w:r>
      <w:r w:rsidR="00460F6D">
        <w:rPr>
          <w:bCs/>
          <w:lang w:val="en-GB"/>
        </w:rPr>
        <w:t xml:space="preserve">already </w:t>
      </w:r>
      <w:r w:rsidRPr="00742AB9">
        <w:rPr>
          <w:bCs/>
          <w:lang w:val="en-GB"/>
        </w:rPr>
        <w:t>obvious</w:t>
      </w:r>
      <w:r>
        <w:rPr>
          <w:bCs/>
          <w:lang w:val="en-GB"/>
        </w:rPr>
        <w:t xml:space="preserve"> </w:t>
      </w:r>
      <w:r w:rsidRPr="00742AB9">
        <w:rPr>
          <w:bCs/>
          <w:lang w:val="en-GB"/>
        </w:rPr>
        <w:t xml:space="preserve">after 6 months of monotherapy: </w:t>
      </w:r>
      <w:r w:rsidRPr="00D041E8">
        <w:rPr>
          <w:bCs/>
          <w:i/>
          <w:lang w:val="en-GB"/>
        </w:rPr>
        <w:t>T</w:t>
      </w:r>
      <w:r w:rsidRPr="00742AB9">
        <w:rPr>
          <w:bCs/>
          <w:lang w:val="en-GB"/>
        </w:rPr>
        <w:t xml:space="preserve"> had decreased by almost</w:t>
      </w:r>
      <w:r>
        <w:rPr>
          <w:bCs/>
          <w:lang w:val="en-GB"/>
        </w:rPr>
        <w:t xml:space="preserve"> </w:t>
      </w:r>
      <w:r w:rsidRPr="00742AB9">
        <w:rPr>
          <w:bCs/>
          <w:lang w:val="en-GB"/>
        </w:rPr>
        <w:t xml:space="preserve">30 % whereas </w:t>
      </w:r>
      <w:r w:rsidRPr="00D041E8">
        <w:rPr>
          <w:bCs/>
          <w:i/>
          <w:lang w:val="en-GB"/>
        </w:rPr>
        <w:t>E2</w:t>
      </w:r>
      <w:r w:rsidRPr="00742AB9">
        <w:rPr>
          <w:bCs/>
          <w:lang w:val="en-GB"/>
        </w:rPr>
        <w:t xml:space="preserve"> had decreased by almost 60 %.</w:t>
      </w:r>
      <w:r>
        <w:rPr>
          <w:bCs/>
          <w:lang w:val="en-GB"/>
        </w:rPr>
        <w:t xml:space="preserve"> </w:t>
      </w:r>
      <w:r w:rsidRPr="00742AB9">
        <w:rPr>
          <w:bCs/>
          <w:lang w:val="en-GB"/>
        </w:rPr>
        <w:t>The overall decrease in the estrogenic to androgenic ratio</w:t>
      </w:r>
      <w:r>
        <w:rPr>
          <w:bCs/>
          <w:lang w:val="en-GB"/>
        </w:rPr>
        <w:t xml:space="preserve"> </w:t>
      </w:r>
      <w:r w:rsidRPr="00742AB9">
        <w:rPr>
          <w:bCs/>
          <w:lang w:val="en-GB"/>
        </w:rPr>
        <w:t>is a common property of all androgenic progestins</w:t>
      </w:r>
      <w:r>
        <w:rPr>
          <w:bCs/>
          <w:lang w:val="en-GB"/>
        </w:rPr>
        <w:t xml:space="preserve"> </w:t>
      </w:r>
      <w:r w:rsidR="007A3EDC">
        <w:rPr>
          <w:bCs/>
          <w:lang w:val="en-GB"/>
        </w:rPr>
        <w:fldChar w:fldCharType="begin" w:fldLock="1"/>
      </w:r>
      <w:r w:rsidR="002C52CA">
        <w:rPr>
          <w:bCs/>
          <w:lang w:val="en-GB"/>
        </w:rPr>
        <w:instrText>ADDIN CSL_CITATION { "citationItems" : [ { "id" : "ITEM-1", "itemData" : { "ISSN" : "0002-9343", "PMID" : "7825629", "abstract" : "All steroid hormones are structurally similar, but relatively minor differences cause profound alterations in biochemical activity. The 21-carbon series (pregnane nucleus) includes the corticoids and the true progestins (e.g., medroxyprogesterone acetate). The 19-carbon series (androstane nucleus) includes all the androgens, among them the progestins used in most oral and parenteral contraceptives. The removal of carbon 19 from testosterone changes the major hormonal effect from androgenic to progestogenic, but these \"19-nor\" steroids retain varying degrees of androgenic activity. (They can also have limited estrogenic activity, but this is insignificant at the low doses used for contraception.) Some of the 19-nortestosterone progestins are metabolized to other compounds (e.g., norethynodrel, ethynodiol diacetate, and lynestrenol to norethindrone), and some (levonorgestrel, desogestrel) are active unchanged. The lingering androgenic effects of 19-nor progestins are dose-related, opposed by estrogen, and are manifested metabolically (e.g., glucose tolerance, lipoprotein synthesis) and symptomatically (e.g., acne, weight gain). The effect of 19-nortestosterones on lipoproteins prompted the development of less androgenic compounds, but the obvious benefit of the new progestins (desogestrel, gestodene, norgestimate) is a reduction in the symptoms associated with the androgenicity of the older compounds. Mitigation of androgenic effects on lipoprotein and carbohydrate metabolism could have long-term benefits, especially for women who are at risk of arteriosclerotic vascular disease; however, these effects remain to be epidemiologically demonstrated.\n\nThis paper reports the results of a review of current literature on progestin androgenicity and any progress made to reduce androgenicity. Structurally synthetic, steroid hormones are similar. The 19-carbon structure series includes all the androgens, including the progestins used in most oral and parenteral OC formulations. Some 19-nortestosterone progestins are metabolized to other compounds and some are active as they are. Androgenic effects of 19-nor progestins are dose-related, opposed by estrogen, and are manifested metabolically or symptomatically. Effects on lipoprotein and carbohydrate metabolism may play a role in the development of vascular disease. This has lead researchers to develop safer, less androgenic compounds characterized by fewer androgenic side effects.", "author" : [ { "dropping-particle" : "", "family" : "Darney", "given" : "P D", "non-dropping-particle" : "", "parse-names" : false, "suffix" : "" } ], "container-title" : "The American journal of medicine", "id" : "ITEM-1", "issue" : "1A", "issued" : { "date-parts" : [ [ "1995", "1", "16" ] ] }, "page" : "104S-110S", "title" : "The androgenicity of progestins.", "type" : "article-journal", "volume" : "98" }, "uris" : [ "http://www.mendeley.com/documents/?uuid=62a88d29-2f2c-47c4-8d6e-b70182750842" ] }, { "id" : "ITEM-2", "itemData" : { "ISSN" : "0301-2115", "PMID" : "3161762", "abstract" : "The effects of 0.125 mg daily doses of the new progestagen, desogestrel, 0.125 mg of levonorgestrel or 5 mg of lynestrenol on serum sex hormone binding globulin (SHBG), cortisol binding globulin (CBG), ceruloplasmin and HDL-cholesterol were studied in 30 healthy female volunteers to compare the possible androgenic and oestrogenic effects of these contraceptive steroids in vivo. All the progestagens in the applied dosages decreased SHBG and HDL-cholesterol concentrations, suggesting some androgenicity. Lynestrenol increased ceruloplasmin and CBG concentrations, indicating weak oestrogenic effects of the steroid. During desogestrel treatments, CBG and ceruloplasmin concentrations remained unchanged. After 30 days treatment with levonorgestrel there was a slight decrease (P less than 0.05) in ceruloplasmin concentrations. Thirty days after finishing the progestagen treatments serum protein concentrations were normal. In conclusion, at the doses used and under the present test conditions the progestagens studied had a weak androgen-like effect and lynestrenol also showed weak oestrogenic activity, as determined by their effects on serum proteins.", "author" : [ { "dropping-particle" : "", "family" : "Ruokonen", "given" : "a", "non-dropping-particle" : "", "parse-names" : false, "suffix" : "" }, { "dropping-particle" : "", "family" : "K\u00e4\u00e4r", "given" : "K", "non-dropping-particle" : "", "parse-names" : false, "suffix" : "" } ], "container-title" : "European journal of obstetrics, gynecology, and reproductive biology", "id" : "ITEM-2", "issue" : "1", "issued" : { "date-parts" : [ [ "1985" ] ] }, "page" : "13-8", "title" : "Effects of desogestrel, levonorgestrel and lynestrenol on serum sex hormone binding globulin, cortisol binding globulin, ceruloplasmin and HDL-cholesterol.", "type" : "article-journal", "volume" : "20" }, "uris" : [ "http://www.mendeley.com/documents/?uuid=0faf6367-5e94-4b2a-b9da-eab4e32eda84" ] }, { "id" : "ITEM-3", "itemData" : { "DOI" : "10.1111/and.12389", "ISSN" : "03034569", "author" : [ { "dropping-particle" : "", "family" : "Gooren", "given" : "L. J.", "non-dropping-particle" : "", "parse-names" : false, "suffix" : "" }, { "dropping-particle" : "", "family" : "Kreukels", "given" : "B.", "non-dropping-particle" : "", "parse-names" : false, "suffix" : "" }, { "dropping-particle" : "", "family" : "Lapauw", "given" : "B.", "non-dropping-particle" : "", "parse-names" : false, "suffix" : "" }, { "dropping-particle" : "", "family" : "Giltay", "given" : "E. J.", "non-dropping-particle" : "", "parse-names" : false, "suffix" : "" } ], "container-title" : "Andrologia", "id" : "ITEM-3", "issue" : "1", "issued" : { "date-parts" : [ [ "2015" ] ] }, "page" : "5-19", "title" : "(Patho)physiology of cross-sex hormone administration to transsexual people: the potential impact of male-female genetic differences", "type" : "article-journal", "volume" : "47" }, "uris" : [ "http://www.mendeley.com/documents/?uuid=aca4bb94-8c1c-4d26-8e49-fbc13501ec0f" ] } ], "mendeley" : { "formattedCitation" : "(31,68,70)", "plainTextFormattedCitation" : "(31,68,70)", "previouslyFormattedCitation" : "(31,68,70)" }, "properties" : { "noteIndex" : 0 }, "schema" : "https://github.com/citation-style-language/schema/raw/master/csl-citation.json" }</w:instrText>
      </w:r>
      <w:r w:rsidR="007A3EDC">
        <w:rPr>
          <w:bCs/>
          <w:lang w:val="en-GB"/>
        </w:rPr>
        <w:fldChar w:fldCharType="separate"/>
      </w:r>
      <w:r w:rsidR="00C7364E" w:rsidRPr="00C7364E">
        <w:rPr>
          <w:bCs/>
          <w:noProof/>
          <w:lang w:val="en-GB"/>
        </w:rPr>
        <w:t>(31,68,70)</w:t>
      </w:r>
      <w:r w:rsidR="007A3EDC">
        <w:rPr>
          <w:bCs/>
          <w:lang w:val="en-GB"/>
        </w:rPr>
        <w:fldChar w:fldCharType="end"/>
      </w:r>
      <w:r w:rsidRPr="00742AB9">
        <w:rPr>
          <w:bCs/>
          <w:lang w:val="en-GB"/>
        </w:rPr>
        <w:t>. Similarly, cross-sex hormone therapy resulted</w:t>
      </w:r>
      <w:r>
        <w:rPr>
          <w:bCs/>
          <w:lang w:val="en-GB"/>
        </w:rPr>
        <w:t xml:space="preserve"> </w:t>
      </w:r>
      <w:r w:rsidRPr="00742AB9">
        <w:rPr>
          <w:bCs/>
          <w:lang w:val="en-GB"/>
        </w:rPr>
        <w:t>in mean T levels within the male reference range</w:t>
      </w:r>
      <w:r>
        <w:rPr>
          <w:bCs/>
          <w:lang w:val="en-GB"/>
        </w:rPr>
        <w:t xml:space="preserve"> </w:t>
      </w:r>
      <w:r w:rsidRPr="00742AB9">
        <w:rPr>
          <w:bCs/>
          <w:lang w:val="en-GB"/>
        </w:rPr>
        <w:t>already after 6 months and with the lowest doses of</w:t>
      </w:r>
      <w:r>
        <w:rPr>
          <w:bCs/>
          <w:lang w:val="en-GB"/>
        </w:rPr>
        <w:t xml:space="preserve"> </w:t>
      </w:r>
      <w:r w:rsidRPr="00742AB9">
        <w:rPr>
          <w:bCs/>
          <w:lang w:val="en-GB"/>
        </w:rPr>
        <w:t>50 mg T</w:t>
      </w:r>
      <w:r w:rsidR="00B23F29">
        <w:rPr>
          <w:bCs/>
          <w:lang w:val="en-GB"/>
        </w:rPr>
        <w:t>E</w:t>
      </w:r>
      <w:r w:rsidRPr="00742AB9">
        <w:rPr>
          <w:bCs/>
          <w:lang w:val="en-GB"/>
        </w:rPr>
        <w:t xml:space="preserve"> per 2 weeks only. The non-significant rise in</w:t>
      </w:r>
      <w:r>
        <w:rPr>
          <w:bCs/>
          <w:lang w:val="en-GB"/>
        </w:rPr>
        <w:t xml:space="preserve"> </w:t>
      </w:r>
      <w:r w:rsidRPr="00742AB9">
        <w:rPr>
          <w:bCs/>
          <w:lang w:val="en-GB"/>
        </w:rPr>
        <w:t>E2 levels during L+T</w:t>
      </w:r>
      <w:r w:rsidR="006E34C2">
        <w:rPr>
          <w:bCs/>
          <w:lang w:val="en-GB"/>
        </w:rPr>
        <w:t>E</w:t>
      </w:r>
      <w:r w:rsidRPr="00742AB9">
        <w:rPr>
          <w:bCs/>
          <w:lang w:val="en-GB"/>
        </w:rPr>
        <w:t xml:space="preserve"> likely represents the effect of</w:t>
      </w:r>
      <w:r>
        <w:rPr>
          <w:bCs/>
          <w:lang w:val="en-GB"/>
        </w:rPr>
        <w:t xml:space="preserve"> </w:t>
      </w:r>
      <w:r w:rsidRPr="00742AB9">
        <w:rPr>
          <w:bCs/>
          <w:lang w:val="en-GB"/>
        </w:rPr>
        <w:t xml:space="preserve">aromatisation of the injected </w:t>
      </w:r>
      <w:r w:rsidR="00B23F29">
        <w:rPr>
          <w:bCs/>
          <w:lang w:val="en-GB"/>
        </w:rPr>
        <w:t>TE</w:t>
      </w:r>
      <w:r w:rsidRPr="00742AB9">
        <w:rPr>
          <w:bCs/>
          <w:lang w:val="en-GB"/>
        </w:rPr>
        <w:t>.</w:t>
      </w:r>
      <w:r>
        <w:rPr>
          <w:bCs/>
          <w:lang w:val="en-GB"/>
        </w:rPr>
        <w:t xml:space="preserve"> </w:t>
      </w:r>
      <w:r w:rsidRPr="00D041E8">
        <w:rPr>
          <w:bCs/>
          <w:i/>
          <w:lang w:val="en-GB"/>
        </w:rPr>
        <w:t>LH,</w:t>
      </w:r>
      <w:r w:rsidRPr="00742AB9">
        <w:rPr>
          <w:bCs/>
          <w:lang w:val="en-GB"/>
        </w:rPr>
        <w:t xml:space="preserve"> but not </w:t>
      </w:r>
      <w:r w:rsidRPr="00D041E8">
        <w:rPr>
          <w:bCs/>
          <w:i/>
          <w:lang w:val="en-GB"/>
        </w:rPr>
        <w:t>FSH,</w:t>
      </w:r>
      <w:r w:rsidRPr="00742AB9">
        <w:rPr>
          <w:bCs/>
          <w:lang w:val="en-GB"/>
        </w:rPr>
        <w:t xml:space="preserve"> was only partially suppressed by L</w:t>
      </w:r>
      <w:r>
        <w:rPr>
          <w:bCs/>
          <w:lang w:val="en-GB"/>
        </w:rPr>
        <w:t xml:space="preserve"> </w:t>
      </w:r>
      <w:r w:rsidRPr="00742AB9">
        <w:rPr>
          <w:bCs/>
          <w:lang w:val="en-GB"/>
        </w:rPr>
        <w:t>monotherapy. Complete suppression of both gonadotropins</w:t>
      </w:r>
      <w:r>
        <w:rPr>
          <w:bCs/>
          <w:lang w:val="en-GB"/>
        </w:rPr>
        <w:t xml:space="preserve"> </w:t>
      </w:r>
      <w:r w:rsidRPr="00742AB9">
        <w:rPr>
          <w:bCs/>
          <w:lang w:val="en-GB"/>
        </w:rPr>
        <w:t>was achieved during L+T</w:t>
      </w:r>
      <w:r w:rsidR="006E34C2">
        <w:rPr>
          <w:bCs/>
          <w:lang w:val="en-GB"/>
        </w:rPr>
        <w:t>E</w:t>
      </w:r>
      <w:r w:rsidRPr="00742AB9">
        <w:rPr>
          <w:bCs/>
          <w:lang w:val="en-GB"/>
        </w:rPr>
        <w:t>.</w:t>
      </w:r>
      <w:r>
        <w:rPr>
          <w:bCs/>
          <w:lang w:val="en-GB"/>
        </w:rPr>
        <w:t xml:space="preserve"> </w:t>
      </w:r>
      <w:r w:rsidRPr="00742AB9">
        <w:rPr>
          <w:bCs/>
          <w:lang w:val="en-GB"/>
        </w:rPr>
        <w:t>The impact of sex</w:t>
      </w:r>
      <w:r>
        <w:rPr>
          <w:bCs/>
          <w:lang w:val="en-GB"/>
        </w:rPr>
        <w:t xml:space="preserve"> </w:t>
      </w:r>
      <w:r w:rsidRPr="00742AB9">
        <w:rPr>
          <w:bCs/>
          <w:lang w:val="en-GB"/>
        </w:rPr>
        <w:t>steroids on thyroid function is poorly understood and</w:t>
      </w:r>
      <w:r>
        <w:rPr>
          <w:bCs/>
          <w:lang w:val="en-GB"/>
        </w:rPr>
        <w:t xml:space="preserve"> </w:t>
      </w:r>
      <w:r w:rsidRPr="00742AB9">
        <w:rPr>
          <w:bCs/>
          <w:lang w:val="en-GB"/>
        </w:rPr>
        <w:t xml:space="preserve">various studies have yielded conflicting data </w:t>
      </w:r>
      <w:r w:rsidR="007A3EDC">
        <w:rPr>
          <w:bCs/>
          <w:lang w:val="en-GB"/>
        </w:rPr>
        <w:fldChar w:fldCharType="begin" w:fldLock="1"/>
      </w:r>
      <w:r w:rsidR="002C52CA">
        <w:rPr>
          <w:bCs/>
          <w:lang w:val="en-GB"/>
        </w:rPr>
        <w:instrText>ADDIN CSL_CITATION { "citationItems" : [ { "id" : "ITEM-1", "itemData" : { "DOI" : "10.1249/01.mss.0000183357.19743.51", "ISSN" : "0195-9131", "author" : [ { "dropping-particle" : "", "family" : "FORTUNATO", "given" : "RODRIGO S.", "non-dropping-particle" : "", "parse-names" : false, "suffix" : "" }, { "dropping-particle" : "", "family" : "MARASSI", "given" : "MICHELLE P.", "non-dropping-particle" : "", "parse-names" : false, "suffix" : "" }, { "dropping-particle" : "", "family" : "CHAVES", "given" : "ELEN A.", "non-dropping-particle" : "", "parse-names" : false, "suffix" : "" }, { "dropping-particle" : "", "family" : "NASCIMENTO", "given" : "JOS?? HAMILTON M.", "non-dropping-particle" : "", "parse-names" : false, "suffix" : "" }, { "dropping-particle" : "", "family" : "ROSENTHAL", "given" : "DORIS", "non-dropping-particle" : "", "parse-names" : false, "suffix" : "" }, { "dropping-particle" : "", "family" : "CARVALHO", "given" : "DENISE P.", "non-dropping-particle" : "", "parse-names" : false, "suffix" : "" } ], "container-title" : "Medicine &amp; Science in Sports &amp; Exercise", "id" : "ITEM-1", "issue" : "2", "issued" : { "date-parts" : [ [ "2006" ] ] }, "page" : "256-261", "title" : "Chronic Administration of Anabolic Androgenic Steroid Alters Murine Thyroid Function", "type" : "article-journal", "volume" : "38" }, "uris" : [ "http://www.mendeley.com/documents/?uuid=bd579323-90d4-4cc4-881a-0c9c48fbe0a2" ] }, { "id" : "ITEM-2", "itemData" : { "DOI" : "10.1016/S0306-4530(02)00025-2", "ISBN" : "0306-4530", "ISSN" : "03064530", "PMID" : "12573299", "abstract" : "Objective: Despite widespread abuse of anabolic-androgenic steroids (AAS), the endocrine effects of supraphysiologic doses of these compounds remain unclear. We administered the AAS methyltestosterone (MT) to 20 normal volunteers in an in-patient setting, examined its effects on levels of pituitary-gonadal, -thyroid, and -adrenal hormones, and examined potential relationships between endocrine changes and MT-induced psychological symptoms. Method: Subjects received MT (three days of 40 mg/day, then three days of 240 mg/day) or placebo in a fixed sequence with neither subjects nor raters aware of order. Samples were obtained at the ends of the baseline, high-dose MT and withdrawal phases. Potential relationships between hormonal changes and visual analog scale measured mood changes were examined. Results: Significant decreases in plasma levels of gonadotropins, gonadal steroids, sex hormone binding globulin, free T3 and T4, and thyroid binding globulin (Bonferroni t, p&lt;0.01 for each) were seen during high-dose MT; free thyroxine and TSH increased during high-dose MT, with TSH increases reaching significance during withdrawal. No significant changes in pituitary-adrenal hormones were observed. Changes in free thyroxine significantly correlated with changes in aggressiveness (anger, violent feelings, irritability) (r=0.5,p=0.02) and changes in total testosterone correlated significantly with changes in cognitive cluster symptoms (forgetfulness, distractibility) (r=0.52,p=0.02). Hormonal changes did not correlate with plasma MT levels. Conclusions: Acute high-dose MT administration acutely suppresses the reproductive axis and significantly impacts thyroid axis balance without a consistent effect on pituitary-adrenal hormones. Mood and behavioral effects observed during AAS use may in part reflect secondary hormonal changes.", "author" : [ { "dropping-particle" : "", "family" : "Daly", "given" : "R. C.", "non-dropping-particle" : "", "parse-names" : false, "suffix" : "" }, { "dropping-particle" : "", "family" : "Su", "given" : "T. P.", "non-dropping-particle" : "", "parse-names" : false, "suffix" : "" }, { "dropping-particle" : "", "family" : "Schmidt", "given" : "P. J.", "non-dropping-particle" : "", "parse-names" : false, "suffix" : "" }, { "dropping-particle" : "", "family" : "Pagliaro", "given" : "M.", "non-dropping-particle" : "", "parse-names" : false, "suffix" : "" }, { "dropping-particle" : "", "family" : "Pickar", "given" : "D.", "non-dropping-particle" : "", "parse-names" : false, "suffix" : "" }, { "dropping-particle" : "", "family" : "Rubinow", "given" : "D. R.", "non-dropping-particle" : "", "parse-names" : false, "suffix" : "" } ], "container-title" : "Psychoneuroendocrinology", "id" : "ITEM-2", "issued" : { "date-parts" : [ [ "2003" ] ] }, "page" : "317-331", "title" : "Neuroendocrine and behavioral effects of high-dose anabolic steroid administration in male normal volunteers", "type" : "article-journal", "volume" : "28" }, "uris" : [ "http://www.mendeley.com/documents/?uuid=6f563bbd-cf7d-43ba-9198-606ec4097625" ] } ], "mendeley" : { "formattedCitation" : "(71,72)", "plainTextFormattedCitation" : "(71,72)", "previouslyFormattedCitation" : "(71,72)" }, "properties" : { "noteIndex" : 0 }, "schema" : "https://github.com/citation-style-language/schema/raw/master/csl-citation.json" }</w:instrText>
      </w:r>
      <w:r w:rsidR="007A3EDC">
        <w:rPr>
          <w:bCs/>
          <w:lang w:val="en-GB"/>
        </w:rPr>
        <w:fldChar w:fldCharType="separate"/>
      </w:r>
      <w:r w:rsidR="002C52CA" w:rsidRPr="002C52CA">
        <w:rPr>
          <w:bCs/>
          <w:noProof/>
          <w:lang w:val="en-GB"/>
        </w:rPr>
        <w:t>(71,72)</w:t>
      </w:r>
      <w:r w:rsidR="007A3EDC">
        <w:rPr>
          <w:bCs/>
          <w:lang w:val="en-GB"/>
        </w:rPr>
        <w:fldChar w:fldCharType="end"/>
      </w:r>
      <w:r w:rsidRPr="00742AB9">
        <w:rPr>
          <w:bCs/>
          <w:lang w:val="en-GB"/>
        </w:rPr>
        <w:t>.</w:t>
      </w:r>
      <w:r w:rsidR="00502AFB">
        <w:rPr>
          <w:bCs/>
          <w:lang w:val="en-GB"/>
        </w:rPr>
        <w:t xml:space="preserve"> </w:t>
      </w:r>
      <w:r w:rsidRPr="00742AB9">
        <w:rPr>
          <w:bCs/>
          <w:lang w:val="en-GB"/>
        </w:rPr>
        <w:t>Overall, changes in TSH and fT4 were small in our</w:t>
      </w:r>
      <w:r>
        <w:rPr>
          <w:bCs/>
          <w:lang w:val="en-GB"/>
        </w:rPr>
        <w:t xml:space="preserve"> </w:t>
      </w:r>
      <w:r w:rsidRPr="00742AB9">
        <w:rPr>
          <w:bCs/>
          <w:lang w:val="en-GB"/>
        </w:rPr>
        <w:t>study and did not result in clinical or biochemical hypo</w:t>
      </w:r>
      <w:r w:rsidR="00B23F29">
        <w:rPr>
          <w:bCs/>
          <w:lang w:val="en-GB"/>
        </w:rPr>
        <w:t>-</w:t>
      </w:r>
      <w:r>
        <w:rPr>
          <w:bCs/>
          <w:lang w:val="en-GB"/>
        </w:rPr>
        <w:t xml:space="preserve"> </w:t>
      </w:r>
      <w:r w:rsidRPr="00742AB9">
        <w:rPr>
          <w:bCs/>
          <w:lang w:val="en-GB"/>
        </w:rPr>
        <w:t>or</w:t>
      </w:r>
      <w:r>
        <w:rPr>
          <w:bCs/>
          <w:lang w:val="en-GB"/>
        </w:rPr>
        <w:t xml:space="preserve"> </w:t>
      </w:r>
      <w:r w:rsidRPr="00742AB9">
        <w:rPr>
          <w:bCs/>
          <w:lang w:val="en-GB"/>
        </w:rPr>
        <w:t>hyperthyroidism. Therefore, we did not consider them</w:t>
      </w:r>
      <w:r>
        <w:rPr>
          <w:bCs/>
          <w:lang w:val="en-GB"/>
        </w:rPr>
        <w:t xml:space="preserve"> </w:t>
      </w:r>
      <w:r w:rsidRPr="00742AB9">
        <w:rPr>
          <w:bCs/>
          <w:lang w:val="en-GB"/>
        </w:rPr>
        <w:t>as clinically relevant.</w:t>
      </w:r>
      <w:r>
        <w:rPr>
          <w:bCs/>
          <w:lang w:val="en-GB"/>
        </w:rPr>
        <w:t xml:space="preserve"> </w:t>
      </w:r>
      <w:r w:rsidRPr="00742AB9">
        <w:rPr>
          <w:bCs/>
          <w:lang w:val="en-GB"/>
        </w:rPr>
        <w:t>Whether or not long-term androgen exposure in natal</w:t>
      </w:r>
      <w:r>
        <w:rPr>
          <w:bCs/>
          <w:lang w:val="en-GB"/>
        </w:rPr>
        <w:t xml:space="preserve"> </w:t>
      </w:r>
      <w:r w:rsidRPr="00742AB9">
        <w:rPr>
          <w:bCs/>
          <w:lang w:val="en-GB"/>
        </w:rPr>
        <w:t>women alters the ovarian follicle reserve, limiting the</w:t>
      </w:r>
      <w:r>
        <w:rPr>
          <w:bCs/>
          <w:lang w:val="en-GB"/>
        </w:rPr>
        <w:t xml:space="preserve"> </w:t>
      </w:r>
      <w:r w:rsidRPr="00742AB9">
        <w:rPr>
          <w:bCs/>
          <w:lang w:val="en-GB"/>
        </w:rPr>
        <w:t>possibilities for successful ovarian cryopreservation and</w:t>
      </w:r>
      <w:r>
        <w:rPr>
          <w:bCs/>
          <w:lang w:val="en-GB"/>
        </w:rPr>
        <w:t xml:space="preserve"> </w:t>
      </w:r>
      <w:r w:rsidRPr="00742AB9">
        <w:rPr>
          <w:bCs/>
          <w:lang w:val="en-GB"/>
        </w:rPr>
        <w:t>subsequent in vitro follicle maturation, is currently debated.</w:t>
      </w:r>
      <w:r>
        <w:rPr>
          <w:bCs/>
          <w:lang w:val="en-GB"/>
        </w:rPr>
        <w:t xml:space="preserve"> </w:t>
      </w:r>
      <w:r w:rsidRPr="00742AB9">
        <w:rPr>
          <w:bCs/>
          <w:lang w:val="en-GB"/>
        </w:rPr>
        <w:t>In primates, androgen administration has been</w:t>
      </w:r>
      <w:r>
        <w:rPr>
          <w:bCs/>
          <w:lang w:val="en-GB"/>
        </w:rPr>
        <w:t xml:space="preserve"> </w:t>
      </w:r>
      <w:r w:rsidRPr="00742AB9">
        <w:rPr>
          <w:bCs/>
          <w:lang w:val="en-GB"/>
        </w:rPr>
        <w:t>shown to stimulate early follicular growth, after which</w:t>
      </w:r>
      <w:r>
        <w:rPr>
          <w:bCs/>
          <w:lang w:val="en-GB"/>
        </w:rPr>
        <w:t xml:space="preserve"> </w:t>
      </w:r>
      <w:r w:rsidRPr="00742AB9">
        <w:rPr>
          <w:bCs/>
          <w:lang w:val="en-GB"/>
        </w:rPr>
        <w:t xml:space="preserve">further </w:t>
      </w:r>
      <w:r w:rsidR="00502AFB">
        <w:rPr>
          <w:bCs/>
          <w:lang w:val="en-GB"/>
        </w:rPr>
        <w:t xml:space="preserve">follicular </w:t>
      </w:r>
      <w:r w:rsidRPr="00742AB9">
        <w:rPr>
          <w:bCs/>
          <w:lang w:val="en-GB"/>
        </w:rPr>
        <w:t>development is stopped due to suppression of</w:t>
      </w:r>
      <w:r>
        <w:rPr>
          <w:bCs/>
          <w:lang w:val="en-GB"/>
        </w:rPr>
        <w:t xml:space="preserve"> </w:t>
      </w:r>
      <w:r w:rsidRPr="00742AB9">
        <w:rPr>
          <w:bCs/>
          <w:lang w:val="en-GB"/>
        </w:rPr>
        <w:t>gonadotropin secretion, resulting in an ovarian morphology</w:t>
      </w:r>
      <w:r>
        <w:rPr>
          <w:bCs/>
          <w:lang w:val="en-GB"/>
        </w:rPr>
        <w:t xml:space="preserve"> </w:t>
      </w:r>
      <w:r w:rsidRPr="00742AB9">
        <w:rPr>
          <w:bCs/>
          <w:lang w:val="en-GB"/>
        </w:rPr>
        <w:t xml:space="preserve">similar to polycystic ovary (PCO) syndrome </w:t>
      </w:r>
      <w:r w:rsidR="00502AFB">
        <w:rPr>
          <w:bCs/>
          <w:lang w:val="en-GB"/>
        </w:rPr>
        <w:t xml:space="preserve">in combination with </w:t>
      </w:r>
      <w:r w:rsidRPr="00742AB9">
        <w:rPr>
          <w:bCs/>
          <w:lang w:val="en-GB"/>
        </w:rPr>
        <w:t xml:space="preserve">increased </w:t>
      </w:r>
      <w:r w:rsidRPr="00D041E8">
        <w:rPr>
          <w:bCs/>
          <w:i/>
          <w:lang w:val="en-GB"/>
        </w:rPr>
        <w:t>AMH</w:t>
      </w:r>
      <w:r w:rsidRPr="00742AB9">
        <w:rPr>
          <w:bCs/>
          <w:lang w:val="en-GB"/>
        </w:rPr>
        <w:t xml:space="preserve"> levels </w:t>
      </w:r>
      <w:r w:rsidR="007A3EDC">
        <w:rPr>
          <w:bCs/>
          <w:lang w:val="en-GB"/>
        </w:rPr>
        <w:fldChar w:fldCharType="begin" w:fldLock="1"/>
      </w:r>
      <w:r w:rsidR="002C52CA">
        <w:rPr>
          <w:bCs/>
          <w:lang w:val="en-GB"/>
        </w:rPr>
        <w:instrText>ADDIN CSL_CITATION { "citationItems" : [ { "id" : "ITEM-1", "itemData" : { "DOI" : "10.1172/JCI2081", "ISBN" : "0021-9738 (Print)\\r0021-9738 (Linking)", "ISSN" : "00219738", "PMID" : "9637695", "abstract" : "The concept that androgens are atretogenic, derived from murine ovary studies, is difficult to reconcile with the fact that hyperandrogenic women have more developing follicles than normal-cycling women. To evaluate androgen's effects on primate follicular growth and survival, normal-cycling rhesus monkeys were treated with placebo-, testosterone-(T), or dihydrotestosterone-sustained release implants, and ovaries were taken for histological analysis after 3-10 d of treatment. Growing preantral and small antral follicles up to 1 mm in diameter were significantly and progressively increased in number and thecal layer thickness in T-treated monkeys from 3-10 d. Granulosa and thecal cell proliferation, as determined by immunodetection of the Ki67 antigen, were significantly increased in these follicles. Preovulatory follicles (&gt; 1 mm), however, were not increased in number in androgen-treated animals. Follicular atresia was not increased and there were actually significantly fewer apoptotic granulosa cells in the T-treated groups. Dihydrotestosterone treatment had identical effects, indicating that these growth-promoting actions are mediated by the androgen receptor. These findings show that, over the short term at least, androgens are not atretogenic and actually enhance follicular growth and survival in the primate. These new data provide a plausible explanation for the pathogenesis of \"polycystic\" ovaries in hyperandrogenism.", "author" : [ { "dropping-particle" : "", "family" : "Vendola", "given" : "Keith a.", "non-dropping-particle" : "", "parse-names" : false, "suffix" : "" }, { "dropping-particle" : "", "family" : "Zhou", "given" : "Jian", "non-dropping-particle" : "", "parse-names" : false, "suffix" : "" }, { "dropping-particle" : "", "family" : "Adesanya", "given" : "Oluyemisi O.", "non-dropping-particle" : "", "parse-names" : false, "suffix" : "" }, { "dropping-particle" : "", "family" : "Weil", "given" : "Stacie J.", "non-dropping-particle" : "", "parse-names" : false, "suffix" : "" }, { "dropping-particle" : "", "family" : "Bondy", "given" : "Carolyn a.", "non-dropping-particle" : "", "parse-names" : false, "suffix" : "" } ], "container-title" : "Journal of Clinical Investigation", "id" : "ITEM-1", "issue" : "12", "issued" : { "date-parts" : [ [ "1998" ] ] }, "page" : "2622-2629", "title" : "Androgens stimulate early stages of follicular growth in the primate ovary", "type" : "article-journal", "volume" : "101" }, "uris" : [ "http://www.mendeley.com/documents/?uuid=4216efe2-d536-4eaf-a797-9340513cb639" ] }, { "id" : "ITEM-2", "itemData" : { "DOI" : "10.1007/s00404-015-3889-5", "ISSN" : "0932-0067", "author" : [ { "dropping-particle" : "", "family" : "Jamil", "given" : "Avin S.", "non-dropping-particle" : "", "parse-names" : false, "suffix" : "" }, { "dropping-particle" : "", "family" : "Alalaf", "given" : "Shahla K.", "non-dropping-particle" : "", "parse-names" : false, "suffix" : "" }, { "dropping-particle" : "", "family" : "Al-Tawil", "given" : "Namir G.", "non-dropping-particle" : "", "parse-names" : false, "suffix" : "" }, { "dropping-particle" : "", "family" : "Al-Shawaf", "given" : "Talha", "non-dropping-particle" : "", "parse-names" : false, "suffix" : "" } ], "container-title" : "Archives of Gynecology and Obstetrics", "id" : "ITEM-2", "issue" : "2", "issued" : { "date-parts" : [ [ "2015" ] ] }, "page" : "447-456", "publisher" : "Springer Berlin Heidelberg", "title" : "Comparison of clinical and hormonal characteristics among four phenotypes of polycystic ovary syndrome based on the Rotterdam criteria", "type" : "article-journal", "volume" : "293" }, "uris" : [ "http://www.mendeley.com/documents/?uuid=8b84a58c-55c1-41fe-9ef4-53641dca9397" ] }, { "id" : "ITEM-3", "itemData" : { "DOI" : "10.1093/humrep/deu182", "ISBN" : "0268-1161", "ISSN" : "1460-2350", "PMID" : "25056088", "abstract" : "STUDY QUESTIONS: Can serum anti-M\u00fcllerian hormone (AMH) levels measured in female adolescents predict polycystic ovary syndrome (PCOS)-associated features in adolescence and early adulthood?\\n\\nSUMMARY ANSWER: AMH levels associated well with PCOS-associated features (such as testosterone levels and oligoamenorrhoea) in adolescence, but was not an ideal marker to predict PCOS-associated features in early adulthood.\\n\\nWHAT IS KNOWN ALREADY: Several studies have reported that there is a strong correlation between antral follicle count and serum AMH levels and that women with PCOS/PCO have significantly higher serum AMH levels than women with normal ovaries. Other studies have reported an association between AMH serum levels and hyperandrogenism in adolescence, but none has prospectively assessed AMH as a risk predictor for developing features of PCOS during adulthood.\\n\\nSTUDY DESIGN, SIZE, DURATION: A subset of 400 girls was selected from the prospective population-based Northern Finland Birth Cohort 1986 (n = 4567 at age 16 and n = 4503 at age 26). The population has been followed from 1986 to the present.\\n\\nPARTICIPANTS/MATERIAL, SETTING, METHODS: At age 16, 400 girls (100 from each testosterone quartile: 50 with oligo- or amenorrhoea and 50 with a normal menstrual cycle) were selected at random from the cohort for AMH measurement. Metabolic parameters were also assessed at age 16 in all participants. Postal questionnaires enquired about oligo- or amenorrhoea, hirsutism, contraceptive use and reproductive health at ages 16 and 26.\\n\\nMAIN RESULTS AND ROLE OF CHANCE: There was a significant correlation between AMH and testosterone at age 16 (r = 0.36, P &lt; 0.001). AMH levels at age 16 were significantly higher among girls with oligo- or amenorrhoea compared with girls with normal menstrual cycles (35.9 pmol/l [95% CI: 33.2;38.6] versus 27.7 pmol/l [95% CI: 25.0;30.4], P &lt; 0.001). AMH at age 16 was higher in girls who developed hirsutism at age 26 compared with the non-hirsute group (31.4 pmol/l [95% CI 27.1;36.5] versus 25.8 pmol/l [95% CI 23.3;28.6], P = 0.036). AMH at age 16 was also higher in women with PCOS at age 26 compared with the non-PCOS subjects (38.1 pmol/l [95% CI 29.1;48.4] versus 30.2 pmol/l [95% CI 27.9;32.4], P = 0.044). The sensitivity and specificity of the AMH (cut-off 22.5 pmol/l) for predicting PCOS at age 26 was 85.7 and 37.5%, respectively. The addition of testosterone did not significantly improve the accuracy of the test. There\u2026", "author" : [ { "dropping-particle" : "", "family" : "Pinola", "given" : "P", "non-dropping-particle" : "", "parse-names" : false, "suffix" : "" }, { "dropping-particle" : "", "family" : "Morin-Papunen", "given" : "L C", "non-dropping-particle" : "", "parse-names" : false, "suffix" : "" }, { "dropping-particle" : "", "family" : "Bloigu", "given" : "a", "non-dropping-particle" : "", "parse-names" : false, "suffix" : "" }, { "dropping-particle" : "", "family" : "Puukka", "given" : "K", "non-dropping-particle" : "", "parse-names" : false, "suffix" : "" }, { "dropping-particle" : "", "family" : "Ruokonen", "given" : "a", "non-dropping-particle" : "", "parse-names" : false, "suffix" : "" }, { "dropping-particle" : "", "family" : "J\u00e4rvelin", "given" : "M-R", "non-dropping-particle" : "", "parse-names" : false, "suffix" : "" }, { "dropping-particle" : "", "family" : "Franks", "given" : "S", "non-dropping-particle" : "", "parse-names" : false, "suffix" : "" }, { "dropping-particle" : "", "family" : "Tapanainen", "given" : "J S", "non-dropping-particle" : "", "parse-names" : false, "suffix" : "" }, { "dropping-particle" : "", "family" : "Lashen", "given" : "H", "non-dropping-particle" : "", "parse-names" : false, "suffix" : "" } ], "container-title" : "Human reproduction (Oxford, England)", "id" : "ITEM-3", "issue" : "0", "issued" : { "date-parts" : [ [ "2014" ] ] }, "page" : "1-9", "title" : "Anti-M\u00fcllerian hormone: correlation with testosterone and oligo- or amenorrhoea in female adolescence in a population-based cohort study.", "type" : "article-journal", "volume" : "0" }, "uris" : [ "http://www.mendeley.com/documents/?uuid=8bc028b8-f16b-471b-9ff7-3d0e7a377a3f" ] }, { "id" : "ITEM-4", "itemData" : { "DOI" : "10.1515/jpem-2014-0128", "ISSN" : "2191-0251", "PMID" : "25003376", "abstract" : "OBJECTIVES: This study aimed to [1] confirm that nonobese adolescents with polycystic ovary syndrome (PCOS) have higher anti-Mullerian hormone (AMH) than controls; [2] examine the relationship of AMH with PCOS features and hormonal profile; and [3] approximate an AMH value that discriminates between adolescents with PCOS and controls.\\n\\nDESIGN: Case-control study.\\n\\nSETTING: Subspecialty ambulatory clinic.\\n\\nPATIENTS: Thirty-one nonobese adolescent girls (age 13-21 years), 15 with PCOS diagnosed using the National Institutes of Health (NIH) criteria and 16 healthy control subjects. Subjects and controls were comparable for body mass index z-score, age and ethnicity.\\n\\nMAIN OUTCOME MEASURE(S): AMH in PCOS subjects and control groups, correlation of AMH with hormonal parameters.\\n\\nRESULTS: AMH was higher in PCOS subjects (4.4\u00b13.4 ng/mL) than in controls (2.4\u00b11.3 ng/mL), when adjusted for menstrual age. In the entire group (PCOS and controls), AMH correlated with androgens, ovarian size and the presence of polycystic ovary (PCO) appearance. There was no difference in average ovarian size between PCOS (7.1\u00b12.6 cm\u00b3) and controls (6.7\u00b11.8 cm\u00b3). PCOS subjects were 1.49 times more likely to have AMH &gt;3.4 ng/mL (confidence interval 0.98-2.26 ng/mL).\\n\\nCONCLUSIONS: Our data suggest that AMH may be a useful adjunct in the diagnosis of PCOS in adolescents.", "author" : [ { "dropping-particle" : "", "family" : "Sopher", "given" : "Aviva B", "non-dropping-particle" : "", "parse-names" : false, "suffix" : "" }, { "dropping-particle" : "", "family" : "Grigoriev", "given" : "Galina", "non-dropping-particle" : "", "parse-names" : false, "suffix" : "" }, { "dropping-particle" : "", "family" : "Laura", "given" : "Diana", "non-dropping-particle" : "", "parse-names" : false, "suffix" : "" }, { "dropping-particle" : "", "family" : "Cameo", "given" : "Tamara", "non-dropping-particle" : "", "parse-names" : false, "suffix" : "" }, { "dropping-particle" : "", "family" : "Lerner", "given" : "Jodi P", "non-dropping-particle" : "", "parse-names" : false, "suffix" : "" }, { "dropping-particle" : "", "family" : "Chang", "given" : "R Jeffrey", "non-dropping-particle" : "", "parse-names" : false, "suffix" : "" }, { "dropping-particle" : "", "family" : "McMahon", "given" : "Donald J", "non-dropping-particle" : "", "parse-names" : false, "suffix" : "" }, { "dropping-particle" : "", "family" : "Oberfield", "given" : "Sharon E", "non-dropping-particle" : "", "parse-names" : false, "suffix" : "" } ], "container-title" : "Journal of pediatric endocrinology &amp; metabolism : JPEM", "id" : "ITEM-4", "issue" : "11-12", "issued" : { "date-parts" : [ [ "2014" ] ] }, "page" : "1175-9", "title" : "Anti-Mullerian hormone may be a useful adjunct in the diagnosis of polycystic ovary syndrome in nonobese adolescents.", "type" : "article-journal", "volume" : "27" }, "uris" : [ "http://www.mendeley.com/documents/?uuid=b584c5ed-5ef3-4dd3-8acc-e4dbf5de111c" ] } ], "mendeley" : { "formattedCitation" : "(73\u201376)", "plainTextFormattedCitation" : "(73\u201376)", "previouslyFormattedCitation" : "(73\u201376)" }, "properties" : { "noteIndex" : 0 }, "schema" : "https://github.com/citation-style-language/schema/raw/master/csl-citation.json" }</w:instrText>
      </w:r>
      <w:r w:rsidR="007A3EDC">
        <w:rPr>
          <w:bCs/>
          <w:lang w:val="en-GB"/>
        </w:rPr>
        <w:fldChar w:fldCharType="separate"/>
      </w:r>
      <w:r w:rsidR="002C52CA" w:rsidRPr="002C52CA">
        <w:rPr>
          <w:bCs/>
          <w:noProof/>
          <w:lang w:val="en-GB"/>
        </w:rPr>
        <w:t>(73–76)</w:t>
      </w:r>
      <w:r w:rsidR="007A3EDC">
        <w:rPr>
          <w:bCs/>
          <w:lang w:val="en-GB"/>
        </w:rPr>
        <w:fldChar w:fldCharType="end"/>
      </w:r>
      <w:r w:rsidRPr="00742AB9">
        <w:rPr>
          <w:bCs/>
          <w:lang w:val="en-GB"/>
        </w:rPr>
        <w:t>. Similar PCO-like</w:t>
      </w:r>
      <w:r>
        <w:rPr>
          <w:bCs/>
          <w:lang w:val="en-GB"/>
        </w:rPr>
        <w:t xml:space="preserve"> </w:t>
      </w:r>
      <w:r w:rsidRPr="00742AB9">
        <w:rPr>
          <w:bCs/>
          <w:lang w:val="en-GB"/>
        </w:rPr>
        <w:t>changes have been observed in ovaries of transmen after</w:t>
      </w:r>
      <w:r>
        <w:rPr>
          <w:bCs/>
          <w:lang w:val="en-GB"/>
        </w:rPr>
        <w:t xml:space="preserve"> </w:t>
      </w:r>
      <w:r w:rsidRPr="00742AB9">
        <w:rPr>
          <w:bCs/>
          <w:lang w:val="en-GB"/>
        </w:rPr>
        <w:t>salpingo-oophorectomy; however, this was not confirmed</w:t>
      </w:r>
      <w:r>
        <w:rPr>
          <w:bCs/>
          <w:lang w:val="en-GB"/>
        </w:rPr>
        <w:t xml:space="preserve"> </w:t>
      </w:r>
      <w:r w:rsidRPr="00742AB9">
        <w:rPr>
          <w:bCs/>
          <w:lang w:val="en-GB"/>
        </w:rPr>
        <w:t xml:space="preserve">in a more recent study </w:t>
      </w:r>
      <w:r w:rsidR="007A3EDC">
        <w:rPr>
          <w:bCs/>
          <w:lang w:val="en-GB"/>
        </w:rPr>
        <w:fldChar w:fldCharType="begin" w:fldLock="1"/>
      </w:r>
      <w:r w:rsidR="002C52CA">
        <w:rPr>
          <w:bCs/>
          <w:lang w:val="en-GB"/>
        </w:rPr>
        <w:instrText>ADDIN CSL_CITATION { "citationItems" : [ { "id" : "ITEM-1", "itemData" : { "DOI" : "10.1093/humrep/des385", "ISBN" : "1460-2350 (Electronic)\\r0268-1161 (Linking)", "ISSN" : "02681161", "PMID" : "23188113", "abstract" : "STUDY QUESTION: Does administration of androgen to female-to-male transsexual persons (FTMs) of reproductive age induce polycystic ovary (PCO) morphology?\\n\\nSUMMARY ANSWER: Administration of high-dose androgen to women causes pathognomonic changes to the ovarian cortex and stroma that resemble Stein-Leventhal syndrome but it does not induce PCO morphology.\\n\\nWHAT IS KNOWN ALREADY: Androgen is thought to play a key role in follicular development and to be involved in the pathophysiology of polycystic ovary syndrome (PCOS). In several experimental models, animals given high-dose androgen show ovarian changes similar to those in women with PCOS. In previous human studies, the ovaries of FTMs who received androgen for long periods also exhibited PCO morphology.\\n\\nSTUDY DESIGN, SIZE, DURATION: We conducted a retrospective case-control study of women, all without PCOS, undergoing salpingo-oophorectomy. The case group consisted of 11 FTMs taking testosterone (duration range: 17 months to 14 years), while the control group consisted of 10 patients with gynaecologic malignancies who did not receive testosterone.\\n\\nPARTICIPANTS/MATERIALS, SETTING, METHODS: Resected ovaries from both groups were compared histologically with respect to changes in the cortex and stroma, and the number of follicles at each maturation stage.\\n\\nMAIN RESULTS AND THE ROLE OF CHANCE: Compared with controls, the FTM group had a thicker ovarian cortex (P = 0.0001), and more hyperplastic collagen (P = 0.001), ovarian stromal hyperplasia (P = 0.003) and stromal luteinization, i.e. luteinized stromal cells with a small dark central nucleus surrounded by clear cytoplasm (P = 0.004). Isolated clusters of such stromal luteinized cells were found only in the testosterone-treated ovaries of FTMs. The number of primordial follicles was similar in the two groups (P = 0.22). The numbers of early stage (primary, pre-antral and early antral) follicles, which are dependent on androgen, were also similar (P = 0.81), as were the numbers of antral follicles (P = 0.97). In contrast, significantly greater numbers of atretic follicles were seen in the FTM than that in the control group (P = 0.01).\\n\\nLIMITATIONS, REASON FOR CAUTION: In addition to the low numbers in the study groups, the histological changes in FTMs were investigated after testosterone administration, therefore it is possible that some of the observed changes were already present, before androgen administration.\\n\\nWIDER IMPLICATION OF TH\u2026", "author" : [ { "dropping-particle" : "", "family" : "Ikeda", "given" : "Keiko", "non-dropping-particle" : "", "parse-names" : false, "suffix" : "" }, { "dropping-particle" : "", "family" : "Baba", "given" : "Tsuyoshi", "non-dropping-particle" : "", "parse-names" : false, "suffix" : "" }, { "dropping-particle" : "", "family" : "Noguchi", "given" : "Hiroko", "non-dropping-particle" : "", "parse-names" : false, "suffix" : "" }, { "dropping-particle" : "", "family" : "Nagasawa", "given" : "Kunihiko", "non-dropping-particle" : "", "parse-names" : false, "suffix" : "" }, { "dropping-particle" : "", "family" : "Endo", "given" : "Toshiaki", "non-dropping-particle" : "", "parse-names" : false, "suffix" : "" }, { "dropping-particle" : "", "family" : "Kiya", "given" : "Tamotsu", "non-dropping-particle" : "", "parse-names" : false, "suffix" : "" }, { "dropping-particle" : "", "family" : "Saito", "given" : "Tsuyoshi", "non-dropping-particle" : "", "parse-names" : false, "suffix" : "" } ], "container-title" : "Human Reproduction", "id" : "ITEM-1", "issue" : "2", "issued" : { "date-parts" : [ [ "2013" ] ] }, "page" : "453-461", "title" : "Excessive androgen exposure in female-to-male transsexual persons of reproductive age induces hyperplasia of the ovarian cortex and stroma but not polycystic ovary morphology", "type" : "article-journal", "volume" : "28" }, "uris" : [ "http://www.mendeley.com/documents/?uuid=8cb4cfd6-de0e-428b-bcf4-baf5e3057125" ] }, { "id" : "ITEM-2", "itemData" : { "DOI" : "10.1016/j.rbmo.2009.12.021", "ISSN" : "14726483", "author" : [ { "dropping-particle" : "", "family" : "Grynberg", "given" : "Micha\u00ebl", "non-dropping-particle" : "", "parse-names" : false, "suffix" : "" }, { "dropping-particle" : "", "family" : "Fanchin", "given" : "Renato", "non-dropping-particle" : "", "parse-names" : false, "suffix" : "" }, { "dropping-particle" : "", "family" : "Dubost", "given" : "Genevi\u00e8ve", "non-dropping-particle" : "", "parse-names" : false, "suffix" : "" }, { "dropping-particle" : "", "family" : "Colau", "given" : "Jean-Claude", "non-dropping-particle" : "", "parse-names" : false, "suffix" : "" }, { "dropping-particle" : "", "family" : "Br\u00e9mont-Weil", "given" : "Catherine", "non-dropping-particle" : "", "parse-names" : false, "suffix" : "" }, { "dropping-particle" : "", "family" : "Frydman", "given" : "Ren\u00e9", "non-dropping-particle" : "", "parse-names" : false, "suffix" : "" }, { "dropping-particle" : "", "family" : "Ayoubi", "given" : "Jean-Marc", "non-dropping-particle" : "", "parse-names" : false, "suffix" : "" } ], "container-title" : "Reproductive BioMedicine Online", "id" : "ITEM-2", "issue" : "4", "issued" : { "date-parts" : [ [ "2010" ] ] }, "page" : "553-558", "title" : "Histology of genital tract and breast tissue after long-term testosterone administration in a female-to-male transsexual population", "type" : "article-journal", "volume" : "20" }, "uris" : [ "http://www.mendeley.com/documents/?uuid=f5975157-55c7-4053-9a07-f48679eaca96" ] }, { "id" : "ITEM-3", "itemData" : { "DOI" : "10.1210/jcem-62-1-16", "ISSN" : "0021-972X", "PMID" : "3940265", "abstract" : "The effects of exogenously administered testosterone were evaluated in a group of 19 female to male transsexuals who underwent bilateral salpingo-oophorectomy after a variable period of androgen therapy. The findings were compared to those in an age-matched group of 12 patients who underwent pelvic surgery for nonendocrine reasons. The most significant findings in the 19 androgen-treated female transsexuals was the finding of enlarged or borderline enlarged ovaries in 5 subjects. In addition, we found multiple cystic follicles in 17 patients (89.5%), diffuse ovarian stromal hyperplasia in 16 patients (84.2%), collagenization of the outer cortex in 13 patients, and 4) luteinization of stromal cells in 5 patients (26.3%). Findings consistent with polycystic ovaries were thus present in 13 of the 19 patients based on the presence of 3 of the above 4 findings. The data suggest that increased blood levels and presumably increased ovarian concentrations of testosterone may produce the morphological features of polycystic ovarian disease.", "author" : [ { "dropping-particle" : "", "family" : "Futterweit", "given" : "W", "non-dropping-particle" : "", "parse-names" : false, "suffix" : "" }, { "dropping-particle" : "", "family" : "Deligdisch", "given" : "L", "non-dropping-particle" : "", "parse-names" : false, "suffix" : "" } ], "container-title" : "The Journal of clinical endocrinology and metabolism", "id" : "ITEM-3", "issue" : "1", "issued" : { "date-parts" : [ [ "1986", "1" ] ] }, "page" : "16-21", "title" : "Histopathological effects of exogenously administered testosterone in 19 female to male transsexuals.", "type" : "article-journal", "volume" : "62" }, "uris" : [ "http://www.mendeley.com/documents/?uuid=1a95f6c4-e314-436a-869b-786875976e7d" ] }, { "id" : "ITEM-4", "itemData" : { "DOI" : "10.1210/jcem-68-1-200", "ISSN" : "0021-972X", "PMID" : "2491861", "abstract" : "We investigated the effects of long term testosterone (T) administration on pulsatile gonadotropin secretion in agonadal women and the effects of estradiol (E2) on gonadotropin secretion in eugonadal women in the follicular phase of the menstrual cycle. We studied 4 groups: A) 28 eugonadal women in the early follicular phase of the menstrual cycle, B) 11 hypogonadal women, C) 13 agonadal female to male (f-t-m) transsexuals treated for at least 3 months with 120-160 mg T undecanoate (TU)/day, orally, and D) 5 agonadal f-to-m transsexuals treated for at least 6 months with 250 mg of a mixture of testosterone esters, im (im T-esters), every 2 weeks. The eugonadal women in the early follicular phase had a mean serum E2 level of 193 +/- 94 (+/- SD) pmol/L, significantly higher (P less than 0.01) than that in the hypogonadal women (60 +/- 24 pmol/L), whereas there was no difference in the mean serum T levels (1.8 +/- 0.7 vs. 2.3 +/- 1.5 nmol/L). the higher serum E2 level in the eugonadal women was associated with a significantly lower mean serum LH level (6.9 +/- 2.6 vs. 44.6 +/- 17.6 U/L; P less than 0.01) and LH pulse amplitude (2.8 +/- 1.0 vs. 12.6 +/- 4.8 U/L; P less than 0.01), whereas the mean nadir LH interval did not differ between the two groups (75 +/- 29 vs. 81 +/- 49 min). The mean serum T level in the agonadal f-to-m transsexuals treated with oral TU was significantly higher (P less than 0.01) than that in the hypogonadal women (9.7 +/- 4.7 vs. 2.3 +/- 1.5 nmol/L). In spite of this elevated T level there was no difference in the mean serum LH level (38.4 +/- 14.7 vs. 44.6 +/- 17.6 U/L), LH pulse amplitude (14.3 +/- 5.7 vs. 12.6 +/- 4.8 U/L), or nadir LH interval (72 +/- 27 vs. 81 +/- 49 min) in these groups. Also, the mean serum E2 (64 +/- 16 vs. 60 +/- 24 pmol/L and FSH levels (62 +/- 17 vs. 64 +/- 28 U/L) did not differ between these groups. Treatment of the agonadal f-to-m transsexuals with im T-esters resulted in mean serum T and E2 levels of 34.4 +/- 27.0 nmol/L and 121 +/- 54 pmol/L, respectively, both significantly higher (P less than 0.01) than those in groups B and C.(ABSTRACT TRUNCATED AT 400 WORDS)", "author" : [ { "dropping-particle" : "", "family" : "Spinder", "given" : "T", "non-dropping-particle" : "", "parse-names" : false, "suffix" : "" }, { "dropping-particle" : "", "family" : "Spijkstra", "given" : "J J", "non-dropping-particle" : "", "parse-names" : false, "suffix" : "" }, { "dropping-particle" : "", "family" : "Gooren", "given" : "L J", "non-dropping-particle" : "", "parse-names" : false, "suffix" : "" }, { "dropping-particle" : "", "family" : "Hompes", "given" : "P G", "non-dropping-particle" : "", "parse-names" : false, "suffix" : "" }, { "dropping-particle" : "", "family" : "Kessel", "given" : "H", "non-dropping-particle" : "van", "parse-names" : false, "suffix" : "" } ], "container-title" : "The Journal of clinical endocrinology and metabolism", "id" : "ITEM-4", "issue" : "1", "issued" : { "date-parts" : [ [ "1989", "1" ] ] }, "page" : "200-7", "title" : "Effects of long-term testosterone administration on gonadotropin secretion in agonadal female to male transsexuals compared with hypogonadal and normal women.", "type" : "article-journal", "volume" : "68" }, "uris" : [ "http://www.mendeley.com/documents/?uuid=e5589af1-1737-44c4-8352-2ee3017212d1" ] } ], "mendeley" : { "formattedCitation" : "(77\u201380)", "plainTextFormattedCitation" : "(77\u201380)", "previouslyFormattedCitation" : "(77\u201380)" }, "properties" : { "noteIndex" : 0 }, "schema" : "https://github.com/citation-style-language/schema/raw/master/csl-citation.json" }</w:instrText>
      </w:r>
      <w:r w:rsidR="007A3EDC">
        <w:rPr>
          <w:bCs/>
          <w:lang w:val="en-GB"/>
        </w:rPr>
        <w:fldChar w:fldCharType="separate"/>
      </w:r>
      <w:r w:rsidR="002C52CA" w:rsidRPr="002C52CA">
        <w:rPr>
          <w:bCs/>
          <w:noProof/>
          <w:lang w:val="en-GB"/>
        </w:rPr>
        <w:t>(77–80)</w:t>
      </w:r>
      <w:r w:rsidR="007A3EDC">
        <w:rPr>
          <w:bCs/>
          <w:lang w:val="en-GB"/>
        </w:rPr>
        <w:fldChar w:fldCharType="end"/>
      </w:r>
      <w:r w:rsidRPr="00742AB9">
        <w:rPr>
          <w:bCs/>
          <w:lang w:val="en-GB"/>
        </w:rPr>
        <w:t>. In contrast with</w:t>
      </w:r>
      <w:r>
        <w:rPr>
          <w:bCs/>
          <w:lang w:val="en-GB"/>
        </w:rPr>
        <w:t xml:space="preserve"> </w:t>
      </w:r>
      <w:r w:rsidRPr="00742AB9">
        <w:rPr>
          <w:bCs/>
          <w:lang w:val="en-GB"/>
        </w:rPr>
        <w:t xml:space="preserve">the study of Caanen et al. </w:t>
      </w:r>
      <w:r w:rsidR="007A3EDC">
        <w:rPr>
          <w:bCs/>
          <w:lang w:val="en-GB"/>
        </w:rPr>
        <w:fldChar w:fldCharType="begin" w:fldLock="1"/>
      </w:r>
      <w:r w:rsidR="002C52CA">
        <w:rPr>
          <w:bCs/>
          <w:lang w:val="en-GB"/>
        </w:rPr>
        <w:instrText>ADDIN CSL_CITATION { "citationItems" : [ { "id" : "ITEM-1", "itemData" : { "DOI" : "10.1016/j.fertnstert.2015.02.003", "ISSN" : "00150282", "author" : [ { "dropping-particle" : "", "family" : "Caanen", "given" : "Mirte R.", "non-dropping-particle" : "", "parse-names" : false, "suffix" : "" }, { "dropping-particle" : "", "family" : "Soleman", "given" : "Remi S.", "non-dropping-particle" : "", "parse-names" : false, "suffix" : "" }, { "dropping-particle" : "", "family" : "Kuijper", "given" : "Esther A.M.", "non-dropping-particle" : "", "parse-names" : false, "suffix" : "" }, { "dropping-particle" : "", "family" : "Kreukels", "given" : "Baudewijntje P.C.", "non-dropping-particle" : "", "parse-names" : false, "suffix" : "" }, { "dropping-particle" : "", "family" : "Roo", "given" : "Chlo\u00eb", "non-dropping-particle" : "De", "parse-names" : false, "suffix" : "" }, { "dropping-particle" : "", "family" : "Tilleman", "given" : "Kelly", "non-dropping-particle" : "", "parse-names" : false, "suffix" : "" }, { "dropping-particle" : "", "family" : "Sutter", "given" : "Petra", "non-dropping-particle" : "De", "parse-names" : false, "suffix" : "" }, { "dropping-particle" : "", "family" : "Trotsenburg", "given" : "Mick A.A.", "non-dropping-particle" : "van", "parse-names" : false, "suffix" : "" }, { "dropping-particle" : "", "family" : "Broekmans", "given" : "Frank J.", "non-dropping-particle" : "", "parse-names" : false, "suffix" : "" }, { "dropping-particle" : "", "family" : "Lambalk", "given" : "Cornelis B.", "non-dropping-particle" : "", "parse-names" : false, "suffix" : "" } ], "container-title" : "Fertility and Sterility", "id" : "ITEM-1", "issue" : "5", "issued" : { "date-parts" : [ [ "2015" ] ] }, "page" : "1340-1345", "title" : "Antim\u00fcllerian hormone levels decrease in female-to-male transsexuals using testosterone as cross-sex therapy", "type" : "article-journal", "volume" : "103" }, "uris" : [ "http://www.mendeley.com/documents/?uuid=1f357545-67c3-486f-986b-d277738b03c6" ] } ], "mendeley" : { "formattedCitation" : "(81)", "plainTextFormattedCitation" : "(81)", "previouslyFormattedCitation" : "(81)" }, "properties" : { "noteIndex" : 0 }, "schema" : "https://github.com/citation-style-language/schema/raw/master/csl-citation.json" }</w:instrText>
      </w:r>
      <w:r w:rsidR="007A3EDC">
        <w:rPr>
          <w:bCs/>
          <w:lang w:val="en-GB"/>
        </w:rPr>
        <w:fldChar w:fldCharType="separate"/>
      </w:r>
      <w:r w:rsidR="002C52CA" w:rsidRPr="002C52CA">
        <w:rPr>
          <w:bCs/>
          <w:noProof/>
          <w:lang w:val="en-GB"/>
        </w:rPr>
        <w:t>(81)</w:t>
      </w:r>
      <w:r w:rsidR="007A3EDC">
        <w:rPr>
          <w:bCs/>
          <w:lang w:val="en-GB"/>
        </w:rPr>
        <w:fldChar w:fldCharType="end"/>
      </w:r>
      <w:r w:rsidRPr="00742AB9">
        <w:rPr>
          <w:bCs/>
          <w:lang w:val="en-GB"/>
        </w:rPr>
        <w:t xml:space="preserve"> where AMH levels were</w:t>
      </w:r>
      <w:r>
        <w:rPr>
          <w:bCs/>
          <w:lang w:val="en-GB"/>
        </w:rPr>
        <w:t xml:space="preserve"> </w:t>
      </w:r>
      <w:r w:rsidRPr="00742AB9">
        <w:rPr>
          <w:bCs/>
          <w:lang w:val="en-GB"/>
        </w:rPr>
        <w:t>strongly reduced using a combination of T, an aromatase</w:t>
      </w:r>
      <w:r>
        <w:rPr>
          <w:bCs/>
          <w:lang w:val="en-GB"/>
        </w:rPr>
        <w:t xml:space="preserve"> </w:t>
      </w:r>
      <w:r w:rsidRPr="00742AB9">
        <w:rPr>
          <w:bCs/>
          <w:lang w:val="en-GB"/>
        </w:rPr>
        <w:t>inhibitor, and a GnRHa to treat GD in adult natal</w:t>
      </w:r>
      <w:r>
        <w:rPr>
          <w:bCs/>
          <w:lang w:val="en-GB"/>
        </w:rPr>
        <w:t xml:space="preserve"> </w:t>
      </w:r>
      <w:r w:rsidRPr="00742AB9">
        <w:rPr>
          <w:bCs/>
          <w:lang w:val="en-GB"/>
        </w:rPr>
        <w:t xml:space="preserve">women, AMH levels did not </w:t>
      </w:r>
      <w:r w:rsidRPr="00742AB9">
        <w:rPr>
          <w:bCs/>
          <w:lang w:val="en-GB"/>
        </w:rPr>
        <w:lastRenderedPageBreak/>
        <w:t>significantly change in our</w:t>
      </w:r>
      <w:r>
        <w:rPr>
          <w:bCs/>
          <w:lang w:val="en-GB"/>
        </w:rPr>
        <w:t xml:space="preserve"> </w:t>
      </w:r>
      <w:r w:rsidRPr="00742AB9">
        <w:rPr>
          <w:bCs/>
          <w:lang w:val="en-GB"/>
        </w:rPr>
        <w:t>patients. Further clinical and pathological studies are</w:t>
      </w:r>
      <w:r>
        <w:rPr>
          <w:bCs/>
          <w:lang w:val="en-GB"/>
        </w:rPr>
        <w:t xml:space="preserve"> </w:t>
      </w:r>
      <w:r w:rsidRPr="00742AB9">
        <w:rPr>
          <w:bCs/>
          <w:lang w:val="en-GB"/>
        </w:rPr>
        <w:t>needed to examine the impact of androgen treatment on</w:t>
      </w:r>
      <w:r>
        <w:rPr>
          <w:bCs/>
          <w:lang w:val="en-GB"/>
        </w:rPr>
        <w:t xml:space="preserve"> </w:t>
      </w:r>
      <w:r w:rsidRPr="00742AB9">
        <w:rPr>
          <w:bCs/>
          <w:lang w:val="en-GB"/>
        </w:rPr>
        <w:t>AMH levels and ovarian morphology and follicle reserve</w:t>
      </w:r>
      <w:r>
        <w:rPr>
          <w:bCs/>
          <w:lang w:val="en-GB"/>
        </w:rPr>
        <w:t xml:space="preserve"> </w:t>
      </w:r>
      <w:r w:rsidRPr="00742AB9">
        <w:rPr>
          <w:bCs/>
          <w:lang w:val="en-GB"/>
        </w:rPr>
        <w:t>in natal women with GD.</w:t>
      </w:r>
      <w:r>
        <w:rPr>
          <w:bCs/>
          <w:lang w:val="en-GB"/>
        </w:rPr>
        <w:t xml:space="preserve"> </w:t>
      </w:r>
    </w:p>
    <w:p w14:paraId="1EC9B36B" w14:textId="77777777" w:rsidR="00B23F29" w:rsidRDefault="00B23F29" w:rsidP="00B23F29">
      <w:pPr>
        <w:autoSpaceDE w:val="0"/>
        <w:autoSpaceDN w:val="0"/>
        <w:adjustRightInd w:val="0"/>
        <w:spacing w:after="0" w:line="360" w:lineRule="auto"/>
        <w:jc w:val="both"/>
        <w:rPr>
          <w:bCs/>
          <w:lang w:val="en-GB"/>
        </w:rPr>
      </w:pPr>
    </w:p>
    <w:p w14:paraId="2F2C8864" w14:textId="45040C6C" w:rsidR="00B23F29" w:rsidRDefault="00742AB9" w:rsidP="00B23F29">
      <w:pPr>
        <w:autoSpaceDE w:val="0"/>
        <w:autoSpaceDN w:val="0"/>
        <w:adjustRightInd w:val="0"/>
        <w:spacing w:after="0" w:line="360" w:lineRule="auto"/>
        <w:jc w:val="both"/>
        <w:rPr>
          <w:bCs/>
          <w:lang w:val="en-GB"/>
        </w:rPr>
      </w:pPr>
      <w:r w:rsidRPr="00742AB9">
        <w:rPr>
          <w:bCs/>
          <w:lang w:val="en-GB"/>
        </w:rPr>
        <w:t>Our study has the typical limitations of a retrospective</w:t>
      </w:r>
      <w:r>
        <w:rPr>
          <w:bCs/>
          <w:lang w:val="en-GB"/>
        </w:rPr>
        <w:t xml:space="preserve"> </w:t>
      </w:r>
      <w:r w:rsidRPr="00742AB9">
        <w:rPr>
          <w:bCs/>
          <w:lang w:val="en-GB"/>
        </w:rPr>
        <w:t>analysis, such as a number of missing data and the impossibility</w:t>
      </w:r>
      <w:r>
        <w:rPr>
          <w:bCs/>
          <w:lang w:val="en-GB"/>
        </w:rPr>
        <w:t xml:space="preserve"> </w:t>
      </w:r>
      <w:r w:rsidRPr="00742AB9">
        <w:rPr>
          <w:bCs/>
          <w:lang w:val="en-GB"/>
        </w:rPr>
        <w:t>to draw causal relationships. Reported side effects</w:t>
      </w:r>
      <w:r>
        <w:rPr>
          <w:bCs/>
          <w:lang w:val="en-GB"/>
        </w:rPr>
        <w:t xml:space="preserve"> </w:t>
      </w:r>
      <w:r w:rsidRPr="00742AB9">
        <w:rPr>
          <w:bCs/>
          <w:lang w:val="en-GB"/>
        </w:rPr>
        <w:t>were limited to those recorded in the patient’s files</w:t>
      </w:r>
      <w:r>
        <w:rPr>
          <w:bCs/>
          <w:lang w:val="en-GB"/>
        </w:rPr>
        <w:t xml:space="preserve"> </w:t>
      </w:r>
      <w:r w:rsidRPr="00742AB9">
        <w:rPr>
          <w:bCs/>
          <w:lang w:val="en-GB"/>
        </w:rPr>
        <w:t>and can therefore be an underestimation. Strengths of</w:t>
      </w:r>
      <w:r>
        <w:rPr>
          <w:bCs/>
          <w:lang w:val="en-GB"/>
        </w:rPr>
        <w:t xml:space="preserve"> </w:t>
      </w:r>
      <w:r w:rsidRPr="00742AB9">
        <w:rPr>
          <w:bCs/>
          <w:lang w:val="en-GB"/>
        </w:rPr>
        <w:t>our study are the relatively large and homogenous patient</w:t>
      </w:r>
      <w:r>
        <w:rPr>
          <w:bCs/>
          <w:lang w:val="en-GB"/>
        </w:rPr>
        <w:t xml:space="preserve"> </w:t>
      </w:r>
      <w:r w:rsidRPr="00742AB9">
        <w:rPr>
          <w:bCs/>
          <w:lang w:val="en-GB"/>
        </w:rPr>
        <w:t>population and the fact that this is a single center</w:t>
      </w:r>
      <w:r>
        <w:rPr>
          <w:bCs/>
          <w:lang w:val="en-GB"/>
        </w:rPr>
        <w:t xml:space="preserve"> </w:t>
      </w:r>
      <w:r w:rsidRPr="00742AB9">
        <w:rPr>
          <w:bCs/>
          <w:lang w:val="en-GB"/>
        </w:rPr>
        <w:t>study where all patients received the same treatment regimen</w:t>
      </w:r>
      <w:r>
        <w:rPr>
          <w:bCs/>
          <w:lang w:val="en-GB"/>
        </w:rPr>
        <w:t xml:space="preserve"> </w:t>
      </w:r>
      <w:r w:rsidRPr="00742AB9">
        <w:rPr>
          <w:bCs/>
          <w:lang w:val="en-GB"/>
        </w:rPr>
        <w:t>and follow-up schedule according to a strict protocol. It</w:t>
      </w:r>
      <w:r>
        <w:rPr>
          <w:bCs/>
          <w:lang w:val="en-GB"/>
        </w:rPr>
        <w:t xml:space="preserve"> </w:t>
      </w:r>
      <w:r w:rsidRPr="00742AB9">
        <w:rPr>
          <w:bCs/>
          <w:lang w:val="en-GB"/>
        </w:rPr>
        <w:t xml:space="preserve">is, to our knowledge, the first report on the effects of L/progesteron treatment in FtM </w:t>
      </w:r>
      <w:r w:rsidR="00B23F29">
        <w:rPr>
          <w:bCs/>
          <w:lang w:val="en-GB"/>
        </w:rPr>
        <w:t>trans</w:t>
      </w:r>
      <w:r w:rsidR="001A6EAE">
        <w:rPr>
          <w:bCs/>
          <w:lang w:val="en-GB"/>
        </w:rPr>
        <w:t>gender</w:t>
      </w:r>
      <w:r w:rsidR="00B23F29">
        <w:rPr>
          <w:bCs/>
          <w:lang w:val="en-GB"/>
        </w:rPr>
        <w:t xml:space="preserve"> </w:t>
      </w:r>
      <w:r w:rsidRPr="00742AB9">
        <w:rPr>
          <w:bCs/>
          <w:lang w:val="en-GB"/>
        </w:rPr>
        <w:t>adolescents and</w:t>
      </w:r>
      <w:r w:rsidR="00E8267B">
        <w:rPr>
          <w:bCs/>
          <w:lang w:val="en-GB"/>
        </w:rPr>
        <w:t xml:space="preserve"> </w:t>
      </w:r>
      <w:r w:rsidRPr="00742AB9">
        <w:rPr>
          <w:bCs/>
          <w:lang w:val="en-GB"/>
        </w:rPr>
        <w:t>one of the few studies reporting on CSH treatment in</w:t>
      </w:r>
      <w:r w:rsidR="00E8267B">
        <w:rPr>
          <w:bCs/>
          <w:lang w:val="en-GB"/>
        </w:rPr>
        <w:t xml:space="preserve"> </w:t>
      </w:r>
      <w:r w:rsidRPr="00742AB9">
        <w:rPr>
          <w:bCs/>
          <w:lang w:val="en-GB"/>
        </w:rPr>
        <w:t>GD adolescents.</w:t>
      </w:r>
    </w:p>
    <w:p w14:paraId="10326256" w14:textId="77777777" w:rsidR="00B23F29" w:rsidRDefault="00B23F29">
      <w:pPr>
        <w:rPr>
          <w:bCs/>
          <w:lang w:val="en-GB"/>
        </w:rPr>
      </w:pPr>
      <w:r>
        <w:rPr>
          <w:bCs/>
          <w:lang w:val="en-GB"/>
        </w:rPr>
        <w:br w:type="page"/>
      </w:r>
    </w:p>
    <w:p w14:paraId="7921BFFA" w14:textId="30F60BC1" w:rsidR="00447DDF" w:rsidRPr="001A6EAE" w:rsidRDefault="00B55BFC" w:rsidP="00C942CA">
      <w:pPr>
        <w:pStyle w:val="Kop2"/>
      </w:pPr>
      <w:bookmarkStart w:id="62" w:name="_Toc451961518"/>
      <w:r w:rsidRPr="001A6EAE">
        <w:lastRenderedPageBreak/>
        <w:t>Cyproterone acetate in MtF trans</w:t>
      </w:r>
      <w:r w:rsidR="001A6EAE" w:rsidRPr="001A6EAE">
        <w:t>gender</w:t>
      </w:r>
      <w:r w:rsidRPr="001A6EAE">
        <w:t xml:space="preserve"> adolescents</w:t>
      </w:r>
      <w:bookmarkEnd w:id="62"/>
    </w:p>
    <w:p w14:paraId="0204991E" w14:textId="7589C571" w:rsidR="00447DDF" w:rsidRDefault="00447DDF" w:rsidP="00792BE8">
      <w:pPr>
        <w:spacing w:line="360" w:lineRule="auto"/>
        <w:jc w:val="both"/>
        <w:rPr>
          <w:lang w:val="en-GB"/>
        </w:rPr>
      </w:pPr>
      <w:r>
        <w:rPr>
          <w:lang w:val="en-GB"/>
        </w:rPr>
        <w:t>Compared with other adolescents in Belgium</w:t>
      </w:r>
      <w:r w:rsidR="00CC151B">
        <w:rPr>
          <w:lang w:val="en-GB"/>
        </w:rPr>
        <w:t>, a</w:t>
      </w:r>
      <w:r>
        <w:rPr>
          <w:lang w:val="en-GB"/>
        </w:rPr>
        <w:t xml:space="preserve"> </w:t>
      </w:r>
      <w:r w:rsidR="008A78A1">
        <w:rPr>
          <w:lang w:val="en-GB"/>
        </w:rPr>
        <w:t xml:space="preserve">similar </w:t>
      </w:r>
      <w:r>
        <w:rPr>
          <w:lang w:val="en-GB"/>
        </w:rPr>
        <w:t>prevalence of smoking and alcohol consumption</w:t>
      </w:r>
      <w:r w:rsidR="008A78A1">
        <w:rPr>
          <w:lang w:val="en-GB"/>
        </w:rPr>
        <w:t xml:space="preserve"> w</w:t>
      </w:r>
      <w:r w:rsidR="00CC151B">
        <w:rPr>
          <w:lang w:val="en-GB"/>
        </w:rPr>
        <w:t>as</w:t>
      </w:r>
      <w:r w:rsidR="008A78A1">
        <w:rPr>
          <w:lang w:val="en-GB"/>
        </w:rPr>
        <w:t xml:space="preserve"> seen</w:t>
      </w:r>
      <w:r>
        <w:rPr>
          <w:lang w:val="en-GB"/>
        </w:rPr>
        <w:t xml:space="preserve"> </w:t>
      </w:r>
      <w:r w:rsidR="007A3EDC">
        <w:rPr>
          <w:lang w:val="en-GB"/>
        </w:rPr>
        <w:fldChar w:fldCharType="begin" w:fldLock="1"/>
      </w:r>
      <w:r w:rsidR="002C52CA">
        <w:rPr>
          <w:lang w:val="en-GB"/>
        </w:rPr>
        <w:instrText>ADDIN CSL_CITATION { "citationItems" : [ { "id" : "ITEM-1", "itemData" : { "abstract" : "Background: The objective of the present study was firstly to collect data on smoking in adolescents from a high cardiovascular risk population and, secondly, to analyse the association between smoking and other cardiovascular risk factors. Methods: A cross-sectional study was conducted in 1,526 adolescents (12-17 years) in 24 secondary schools of the Belgian province of Luxembourg. Data collection included smoking, physical activity habits, blood pressure, total cholesterol, anthropometry, diet (e.g. alcohol consumption) and oral contraceptive use. Results: The prevalences of current and occasional smokers were 14.8 and 5.4% respectively, with similar proportions in both genders. The proportion of smokers was significantly higher in the technical course than in the classical one (35.6 versus 24% in the 15-17 years age group). In the 15-17 year old group, regular smokers consumed significantly more free sugar, alcohol, coffee and soft drinks and male smokers ate less fruit and vegetable than non-smokers. In the same age group, 32.6% of female smokers were oral contraceptive users versus 17.9% in the non-smokers group. Other cardiovascular risk factors were similar in regular smokers and non-smokers. Conclusion: Adolescent smoking is a cause for concern in this sample from a high cardiovascular risk population. Few links were found between the prior and other cardiovascular risk factors. However, the high prevalence of smoking in the technical course and its combined usage with oral contraceptives in teenagers deserve careful attention.", "author" : [ { "dropping-particle" : "", "family" : "Paulus", "given" : "D.", "non-dropping-particle" : "", "parse-names" : false, "suffix" : "" }, { "dropping-particle" : "", "family" : "Saint-Remy", "given" : "A.", "non-dropping-particle" : "", "parse-names" : false, "suffix" : "" }, { "dropping-particle" : "", "family" : "Jeanjean", "given" : "M.", "non-dropping-particle" : "", "parse-names" : false, "suffix" : "" } ], "id" : "ITEM-1", "issued" : { "date-parts" : [ [ "2000" ] ] }, "title" : "Smoking during adolescence: Association with other cardiovascular risk factors in Belgian adolescents.", "type" : "article-journal" }, "uris" : [ "http://www.mendeley.com/documents/?uuid=47c7a2e3-f66a-4854-8218-1e179136bb26" ] }, { "id" : "ITEM-2", "itemData" : { "ISBN" : "0393-2990 (Print)\\r0393-2990", "ISSN" : "0393-2990", "PMID" : "10780340", "abstract" : "Despite abundant literature the respective roles of psychosomatic status, personality, health perception, family environment, and sport activity in tobacco, alcohol and illicit drug use have not been well known. To assess their roles, an epidemiological cross-sectional study was conducted in 3294 middle and high school adolescents, 2396 (73%) of whom agreed to participate. The standardized questionnaire was filled out by the teenagers under the supervision of the teachers. Strong associations were found between tobacco, alcohol, and illicit drug use. The prevalence of alcohol use and illicit drug use were respectively 7 and 10 times higher in smokers than in non-smokers. On the whole, the potential risk factors for tobacco, alcohol, and illicit drug use were age, psychosomatic status and psychotropic drug consumption, boring family atmosphere, not living with both father and mother, and health perception. Mother being a housewife was a protective factor. No marked role was noted for the head of family's socio-occupational category. Personality would be indicators of self-control ability. Indeed, some self-reported personalities (serious, attentive, calm, organized) had protection roles whereas some others (easily irritable, aggressive, worried, clumsy, careless, solitary, etc.) were risk factors (risk-taking or deviant behaviors). Some sports activities were found to be negatively related, but some others related positively with drug use, possibly due to repetitive meetings between the adolescents at risk. Preventive measures may be targeted at these risk factors.", "author" : [ { "dropping-particle" : "", "family" : "Challier", "given" : "B", "non-dropping-particle" : "", "parse-names" : false, "suffix" : "" }, { "dropping-particle" : "", "family" : "Chau", "given" : "N", "non-dropping-particle" : "", "parse-names" : false, "suffix" : "" }, { "dropping-particle" : "", "family" : "Pr\u00e9dine", "given" : "R", "non-dropping-particle" : "", "parse-names" : false, "suffix" : "" }, { "dropping-particle" : "", "family" : "Choquet", "given" : "M", "non-dropping-particle" : "", "parse-names" : false, "suffix" : "" }, { "dropping-particle" : "", "family" : "Legras", "given" : "B", "non-dropping-particle" : "", "parse-names" : false, "suffix" : "" }, { "dropping-particle" : "", "family" : "Predine", "given" : "R", "non-dropping-particle" : "", "parse-names" : false, "suffix" : "" }, { "dropping-particle" : "", "family" : "Choquet", "given" : "M", "non-dropping-particle" : "", "parse-names" : false, "suffix" : "" }, { "dropping-particle" : "", "family" : "Legras", "given" : "B", "non-dropping-particle" : "", "parse-names" : false, "suffix" : "" } ], "container-title" : "Eur J Epidemiol", "id" : "ITEM-2", "issue" : "1", "issued" : { "date-parts" : [ [ "2000" ] ] }, "page" : "33-42", "title" : "Associations of family environment and individual factors with tobacco, alcohol, and illicit drug use in adolescents", "type" : "article-journal", "volume" : "16" }, "uris" : [ "http://www.mendeley.com/documents/?uuid=acad5c14-94bd-4638-bf11-2cd67bf651fc" ] } ], "mendeley" : { "formattedCitation" : "(57,58)", "plainTextFormattedCitation" : "(57,58)", "previouslyFormattedCitation" : "(57,58)" }, "properties" : { "noteIndex" : 0 }, "schema" : "https://github.com/citation-style-language/schema/raw/master/csl-citation.json" }</w:instrText>
      </w:r>
      <w:r w:rsidR="007A3EDC">
        <w:rPr>
          <w:lang w:val="en-GB"/>
        </w:rPr>
        <w:fldChar w:fldCharType="separate"/>
      </w:r>
      <w:r w:rsidR="00C7364E" w:rsidRPr="00C7364E">
        <w:rPr>
          <w:noProof/>
          <w:lang w:val="en-GB"/>
        </w:rPr>
        <w:t>(57,58)</w:t>
      </w:r>
      <w:r w:rsidR="007A3EDC">
        <w:rPr>
          <w:lang w:val="en-GB"/>
        </w:rPr>
        <w:fldChar w:fldCharType="end"/>
      </w:r>
      <w:r>
        <w:rPr>
          <w:lang w:val="en-GB"/>
        </w:rPr>
        <w:t xml:space="preserve">. As for educational level, a remarkably higher proportion of </w:t>
      </w:r>
      <w:r w:rsidR="00460F6D">
        <w:rPr>
          <w:lang w:val="en-GB"/>
        </w:rPr>
        <w:t xml:space="preserve">transgender </w:t>
      </w:r>
      <w:r>
        <w:rPr>
          <w:lang w:val="en-GB"/>
        </w:rPr>
        <w:t>adolescents attend</w:t>
      </w:r>
      <w:r w:rsidR="00460F6D">
        <w:rPr>
          <w:lang w:val="en-GB"/>
        </w:rPr>
        <w:t>ed</w:t>
      </w:r>
      <w:r>
        <w:rPr>
          <w:lang w:val="en-GB"/>
        </w:rPr>
        <w:t xml:space="preserve"> art school and vocational training compared with the general Flemish school population</w:t>
      </w:r>
      <w:r w:rsidR="00C84681">
        <w:rPr>
          <w:lang w:val="en-GB"/>
        </w:rPr>
        <w:t xml:space="preserve"> </w:t>
      </w:r>
      <w:r w:rsidR="007A3EDC">
        <w:rPr>
          <w:lang w:val="en-GB"/>
        </w:rPr>
        <w:fldChar w:fldCharType="begin" w:fldLock="1"/>
      </w:r>
      <w:r w:rsidR="002C52CA">
        <w:rPr>
          <w:lang w:val="en-GB"/>
        </w:rPr>
        <w:instrText>ADDIN CSL_CITATION { "citationItems" : [ { "id" : "ITEM-1", "itemData" : { "URL" : "http://www.onderwijs.vlaanderen.be/onderwijsstatistieken", "accessed" : { "date-parts" : [ [ "2016", "3", "17" ] ] }, "author" : [ { "dropping-particle" : "", "family" : "Scheys", "given" : "M", "non-dropping-particle" : "", "parse-names" : false, "suffix" : "" } ], "id" : "ITEM-1", "issued" : { "date-parts" : [ [ "0" ] ] }, "title" : "Vlaams onderwijs in cijfers 2013-2014. In: Departement Onderwijs en Vorming.", "type" : "webpage" }, "uris" : [ "http://www.mendeley.com/documents/?uuid=b71d32bf-ed30-403c-a08b-42980e478edc" ] } ], "mendeley" : { "formattedCitation" : "(56)", "plainTextFormattedCitation" : "(56)", "previouslyFormattedCitation" : "(56)" }, "properties" : { "noteIndex" : 0 }, "schema" : "https://github.com/citation-style-language/schema/raw/master/csl-citation.json" }</w:instrText>
      </w:r>
      <w:r w:rsidR="007A3EDC">
        <w:rPr>
          <w:lang w:val="en-GB"/>
        </w:rPr>
        <w:fldChar w:fldCharType="separate"/>
      </w:r>
      <w:r w:rsidR="00C7364E" w:rsidRPr="00C7364E">
        <w:rPr>
          <w:noProof/>
          <w:lang w:val="en-GB"/>
        </w:rPr>
        <w:t>(56)</w:t>
      </w:r>
      <w:r w:rsidR="007A3EDC">
        <w:rPr>
          <w:lang w:val="en-GB"/>
        </w:rPr>
        <w:fldChar w:fldCharType="end"/>
      </w:r>
      <w:r w:rsidR="00C84681">
        <w:rPr>
          <w:lang w:val="en-GB"/>
        </w:rPr>
        <w:t>.</w:t>
      </w:r>
      <w:r>
        <w:rPr>
          <w:lang w:val="en-GB"/>
        </w:rPr>
        <w:t xml:space="preserve"> </w:t>
      </w:r>
    </w:p>
    <w:p w14:paraId="0572CF3F" w14:textId="181C7632" w:rsidR="00447DDF" w:rsidRPr="00C72C1F" w:rsidRDefault="000628B5" w:rsidP="00C942CA">
      <w:pPr>
        <w:pStyle w:val="Kop3"/>
        <w:rPr>
          <w:lang w:val="en-GB"/>
        </w:rPr>
      </w:pPr>
      <w:bookmarkStart w:id="63" w:name="_Toc451961519"/>
      <w:r>
        <w:rPr>
          <w:lang w:val="en-GB"/>
        </w:rPr>
        <w:t>Clinical effects and s</w:t>
      </w:r>
      <w:r w:rsidR="00447DDF" w:rsidRPr="00C72C1F">
        <w:rPr>
          <w:lang w:val="en-GB"/>
        </w:rPr>
        <w:t>ide effects</w:t>
      </w:r>
      <w:bookmarkEnd w:id="63"/>
    </w:p>
    <w:p w14:paraId="208551F9" w14:textId="33343244" w:rsidR="00447DDF" w:rsidRDefault="008A78A1" w:rsidP="00792BE8">
      <w:pPr>
        <w:spacing w:line="360" w:lineRule="auto"/>
        <w:jc w:val="both"/>
        <w:rPr>
          <w:lang w:val="en-GB"/>
        </w:rPr>
      </w:pPr>
      <w:r>
        <w:rPr>
          <w:lang w:val="en-GB"/>
        </w:rPr>
        <w:t>Over</w:t>
      </w:r>
      <w:r w:rsidR="00396349">
        <w:rPr>
          <w:lang w:val="en-GB"/>
        </w:rPr>
        <w:t xml:space="preserve"> half </w:t>
      </w:r>
      <w:r w:rsidR="00447DDF">
        <w:rPr>
          <w:lang w:val="en-GB"/>
        </w:rPr>
        <w:t>of the adolescents reported a decreased shaving frequency during CA. After initiation of C</w:t>
      </w:r>
      <w:r w:rsidR="00F310DF">
        <w:rPr>
          <w:lang w:val="en-GB"/>
        </w:rPr>
        <w:t>A</w:t>
      </w:r>
      <w:r w:rsidR="00447DDF">
        <w:rPr>
          <w:lang w:val="en-GB"/>
        </w:rPr>
        <w:t>+E,</w:t>
      </w:r>
      <w:r w:rsidR="00396349">
        <w:rPr>
          <w:lang w:val="en-GB"/>
        </w:rPr>
        <w:t xml:space="preserve"> </w:t>
      </w:r>
      <w:r w:rsidR="00447DDF">
        <w:rPr>
          <w:lang w:val="en-GB"/>
        </w:rPr>
        <w:t xml:space="preserve">the </w:t>
      </w:r>
      <w:r w:rsidR="00460F6D">
        <w:rPr>
          <w:lang w:val="en-GB"/>
        </w:rPr>
        <w:t xml:space="preserve">need for </w:t>
      </w:r>
      <w:r w:rsidR="00447DDF">
        <w:rPr>
          <w:lang w:val="en-GB"/>
        </w:rPr>
        <w:t xml:space="preserve">shaving </w:t>
      </w:r>
      <w:r w:rsidR="00460F6D">
        <w:rPr>
          <w:lang w:val="en-GB"/>
        </w:rPr>
        <w:t>decreased further</w:t>
      </w:r>
      <w:r w:rsidR="00447DDF">
        <w:rPr>
          <w:lang w:val="en-GB"/>
        </w:rPr>
        <w:t>.</w:t>
      </w:r>
      <w:r w:rsidR="00CE71DD">
        <w:rPr>
          <w:lang w:val="en-GB"/>
        </w:rPr>
        <w:t xml:space="preserve"> </w:t>
      </w:r>
      <w:r w:rsidR="00F71BD5">
        <w:rPr>
          <w:lang w:val="en-GB"/>
        </w:rPr>
        <w:t>F</w:t>
      </w:r>
      <w:r w:rsidR="007D0511">
        <w:rPr>
          <w:lang w:val="en-GB"/>
        </w:rPr>
        <w:t>our</w:t>
      </w:r>
      <w:r w:rsidR="00447DDF">
        <w:rPr>
          <w:lang w:val="en-GB"/>
        </w:rPr>
        <w:t xml:space="preserve"> patients </w:t>
      </w:r>
      <w:r w:rsidR="00447DDF" w:rsidRPr="001964C8">
        <w:rPr>
          <w:lang w:val="en-GB"/>
        </w:rPr>
        <w:t>reported that they no longer needed to shave</w:t>
      </w:r>
      <w:r w:rsidR="007D0511">
        <w:rPr>
          <w:lang w:val="en-GB"/>
        </w:rPr>
        <w:t xml:space="preserve">, two </w:t>
      </w:r>
      <w:r w:rsidR="00460F6D">
        <w:rPr>
          <w:lang w:val="en-GB"/>
        </w:rPr>
        <w:t xml:space="preserve">others had </w:t>
      </w:r>
      <w:r w:rsidR="007D0511">
        <w:rPr>
          <w:lang w:val="en-GB"/>
        </w:rPr>
        <w:t>laser treatment to eliminate facial hair growth</w:t>
      </w:r>
      <w:r w:rsidR="00447DDF" w:rsidRPr="001964C8">
        <w:rPr>
          <w:lang w:val="en-GB"/>
        </w:rPr>
        <w:t xml:space="preserve">. </w:t>
      </w:r>
      <w:r w:rsidR="00460F6D">
        <w:rPr>
          <w:lang w:val="en-GB"/>
        </w:rPr>
        <w:t>Surprisingly, b</w:t>
      </w:r>
      <w:r w:rsidR="00447DDF" w:rsidRPr="001964C8">
        <w:rPr>
          <w:lang w:val="en-GB"/>
        </w:rPr>
        <w:t>reast development</w:t>
      </w:r>
      <w:r w:rsidR="00CE71DD" w:rsidRPr="001964C8">
        <w:rPr>
          <w:lang w:val="en-GB"/>
        </w:rPr>
        <w:t xml:space="preserve"> </w:t>
      </w:r>
      <w:r w:rsidR="000628B5">
        <w:rPr>
          <w:lang w:val="en-GB"/>
        </w:rPr>
        <w:t>initiated</w:t>
      </w:r>
      <w:r w:rsidR="00BD4083">
        <w:rPr>
          <w:lang w:val="en-GB"/>
        </w:rPr>
        <w:t xml:space="preserve"> </w:t>
      </w:r>
      <w:r w:rsidR="00447DDF">
        <w:rPr>
          <w:lang w:val="en-GB"/>
        </w:rPr>
        <w:t>during CA</w:t>
      </w:r>
      <w:r w:rsidR="000628B5">
        <w:rPr>
          <w:lang w:val="en-GB"/>
        </w:rPr>
        <w:t xml:space="preserve"> in </w:t>
      </w:r>
      <w:r w:rsidR="00976DC1">
        <w:rPr>
          <w:lang w:val="en-GB"/>
        </w:rPr>
        <w:t>28</w:t>
      </w:r>
      <w:r w:rsidR="000628B5">
        <w:rPr>
          <w:lang w:val="en-GB"/>
        </w:rPr>
        <w:t>%</w:t>
      </w:r>
      <w:r w:rsidR="00460F6D">
        <w:rPr>
          <w:lang w:val="en-GB"/>
        </w:rPr>
        <w:t xml:space="preserve">; after addition of E, </w:t>
      </w:r>
      <w:r w:rsidR="006F5FA0">
        <w:rPr>
          <w:lang w:val="en-GB"/>
        </w:rPr>
        <w:t>82,4%</w:t>
      </w:r>
      <w:r w:rsidR="000628B5">
        <w:rPr>
          <w:lang w:val="en-GB"/>
        </w:rPr>
        <w:t xml:space="preserve"> reach</w:t>
      </w:r>
      <w:r w:rsidR="00EB7DA6">
        <w:rPr>
          <w:lang w:val="en-GB"/>
        </w:rPr>
        <w:t>ed</w:t>
      </w:r>
      <w:r w:rsidR="000628B5">
        <w:rPr>
          <w:lang w:val="en-GB"/>
        </w:rPr>
        <w:t xml:space="preserve"> Tanner stage</w:t>
      </w:r>
      <w:r w:rsidR="00CE71DD">
        <w:rPr>
          <w:lang w:val="en-GB"/>
        </w:rPr>
        <w:t xml:space="preserve"> B3-4</w:t>
      </w:r>
      <w:r w:rsidR="00447DDF">
        <w:rPr>
          <w:lang w:val="en-GB"/>
        </w:rPr>
        <w:t xml:space="preserve">, which in all but one case coincided with </w:t>
      </w:r>
      <w:r w:rsidR="008945A4">
        <w:rPr>
          <w:lang w:val="en-GB"/>
        </w:rPr>
        <w:t>tenderness of nipples/</w:t>
      </w:r>
      <w:r w:rsidR="00447DDF">
        <w:rPr>
          <w:lang w:val="en-GB"/>
        </w:rPr>
        <w:t xml:space="preserve">breasts. </w:t>
      </w:r>
      <w:r w:rsidR="00706D6D">
        <w:rPr>
          <w:lang w:val="en-GB"/>
        </w:rPr>
        <w:t xml:space="preserve">It has been </w:t>
      </w:r>
      <w:r w:rsidR="005E232F">
        <w:rPr>
          <w:lang w:val="en-GB"/>
        </w:rPr>
        <w:t>hypothesi</w:t>
      </w:r>
      <w:r w:rsidR="00706D6D">
        <w:rPr>
          <w:lang w:val="en-GB"/>
        </w:rPr>
        <w:t xml:space="preserve">zed </w:t>
      </w:r>
      <w:r w:rsidR="005E232F">
        <w:rPr>
          <w:lang w:val="en-GB"/>
        </w:rPr>
        <w:t>that breast growth is</w:t>
      </w:r>
      <w:r w:rsidR="00447DDF">
        <w:rPr>
          <w:lang w:val="en-GB"/>
        </w:rPr>
        <w:t xml:space="preserve"> more pronounced when CSH </w:t>
      </w:r>
      <w:r w:rsidR="005E232F">
        <w:rPr>
          <w:lang w:val="en-GB"/>
        </w:rPr>
        <w:t xml:space="preserve">are given </w:t>
      </w:r>
      <w:r w:rsidR="00447DDF">
        <w:rPr>
          <w:lang w:val="en-GB"/>
        </w:rPr>
        <w:t xml:space="preserve">earlier in life </w:t>
      </w:r>
      <w:r w:rsidR="007A3EDC">
        <w:rPr>
          <w:lang w:val="en-GB"/>
        </w:rPr>
        <w:fldChar w:fldCharType="begin" w:fldLock="1"/>
      </w:r>
      <w:r w:rsidR="002C52CA">
        <w:rPr>
          <w:lang w:val="en-GB"/>
        </w:rPr>
        <w:instrText>ADDIN CSL_CITATION { "citationItems" : [ { "id" : "ITEM-1", "itemData" : { "DOI" : "10.1111/jsm.12487", "ISSN" : "1743-6109", "PMID" : "24618412", "abstract" : "Introduction. In trans women (male-to-female transsexual persons), cross-sex hormone therapy is administered to induce feminization. Breast development is an important part of feminization for most trans women., Aim. The aim of this study is to assess the effect of cross-sex hormone therapy on breast development in adult trans women. Additionally, we aimed to investigate the benefit or harm of administration of progestogens on breast development., Methods. A review of the literature in Embase, Medline, The Cochrane Library, PsycINFO databases, PubMed, and Web of Knowledge until January 2014., Main Outcome Measures. Effects of cross-sex hormone therapy and progestogens on breast development in trans women., Results. Only few studies with low quality of evidence addressed these topics. The available evidence suggests that breast development is insufficient for the majority of trans women and that type and dosage of hormonal therapy seem not to have an important role on final breast size., Conclusions. Our knowledge concerning the natural history and effects of different cross-sex hormone therapies on breast development in trans women is extremely sparse and based on low quality of evidence. Current evidence does not provide evidence that progestogens enhance breast development in trans women. Neither do they prove the absence of such an effect. This prevents us from drawing any firm conclusion at this moment and demonstrates the need for further research to clarify these important clinical questions. Wierckx K, Gooren L, and T'Sjoen G. Clinical review: Breast development in trans women receiving cross-sex hormones. J Sex Med 2014;11:1240-1247., (C) 2014 John Wiley &amp; Sons, Ltd", "author" : [ { "dropping-particle" : "", "family" : "Wierckx", "given" : "Katrien M D", "non-dropping-particle" : "", "parse-names" : false, "suffix" : "" }, { "dropping-particle" : "", "family" : "Gooren", "given" : "Louis M D PhD", "non-dropping-particle" : "", "parse-names" : false, "suffix" : "" }, { "dropping-particle" : "", "family" : "T'Sjoen", "given" : "Guy M D PhD", "non-dropping-particle" : "", "parse-names" : false, "suffix" : "" } ], "container-title" : "Journal of Sexual Medicine May", "id" : "ITEM-1", "issued" : { "date-parts" : [ [ "2014" ] ] }, "page" : "1240-1247", "title" : "Clinical Review: Breast Development in Trans Women Receiving Cross-Sex Hormones. [Article]", "type" : "article-journal", "volume" : "11" }, "uris" : [ "http://www.mendeley.com/documents/?uuid=0f4ff112-08fc-4353-8482-fd7aeb1b0040" ] }, { "id" : "ITEM-2", "itemData" : { "DOI" : "10.1080/15532739.2010.514222", "ISSN" : "1553-2739", "abstract" : "ABSTRACT Seemingly, the injection of adulterated silicone is a low-cost alternative to sex reassignment and therapeutic hormones, but the negative health effect far exceeds the troublesome aesthetic outcome. An in-depth search of the published literature, examination of the pilot study, and interviews with expert clinicians confirm the widespread use of adulterated silicone among some transgendered individuals. An integrated collaborative intervention is recommended to assess and ameliorate risk behaviors in a community setting. Health studies and surveillance data are necessary to better understand this potentially life-threatening social behavior. Transgender peer-led community outreach is critical to increase awareness and promote silicone harm reduction to address this swelling public health imperative.", "author" : [ { "dropping-particle" : "", "family" : "Wallace", "given" : "Phyllis M.", "non-dropping-particle" : "", "parse-names" : false, "suffix" : "" }, { "dropping-particle" : "", "family" : "Rasmussen", "given" : "Sandra", "non-dropping-particle" : "", "parse-names" : false, "suffix" : "" } ], "container-title" : "International Journal of Transgenderism", "id" : "ITEM-2", "issue" : "3", "issued" : { "date-parts" : [ [ "2010", "10", "12" ] ] }, "language" : "en", "page" : "167-175", "publisher" : "Taylor &amp; Francis Group", "title" : "Analysis of Adulterated Silicone: Implications for Health Promotion", "type" : "article-journal", "volume" : "12" }, "uris" : [ "http://www.mendeley.com/documents/?uuid=a797143e-e997-41f5-a4dd-10fb63d9e081" ] } ], "mendeley" : { "formattedCitation" : "(37,82)", "plainTextFormattedCitation" : "(37,82)", "previouslyFormattedCitation" : "(37,82)" }, "properties" : { "noteIndex" : 0 }, "schema" : "https://github.com/citation-style-language/schema/raw/master/csl-citation.json" }</w:instrText>
      </w:r>
      <w:r w:rsidR="007A3EDC">
        <w:rPr>
          <w:lang w:val="en-GB"/>
        </w:rPr>
        <w:fldChar w:fldCharType="separate"/>
      </w:r>
      <w:r w:rsidR="002C52CA" w:rsidRPr="002C52CA">
        <w:rPr>
          <w:noProof/>
          <w:lang w:val="en-GB"/>
        </w:rPr>
        <w:t>(37,82)</w:t>
      </w:r>
      <w:r w:rsidR="007A3EDC">
        <w:rPr>
          <w:lang w:val="en-GB"/>
        </w:rPr>
        <w:fldChar w:fldCharType="end"/>
      </w:r>
      <w:r w:rsidR="00447DDF">
        <w:rPr>
          <w:lang w:val="en-GB"/>
        </w:rPr>
        <w:t>.</w:t>
      </w:r>
      <w:r w:rsidR="00F71BD5">
        <w:rPr>
          <w:lang w:val="en-GB"/>
        </w:rPr>
        <w:t xml:space="preserve"> </w:t>
      </w:r>
      <w:r w:rsidR="00EB7DA6">
        <w:rPr>
          <w:lang w:val="en-GB"/>
        </w:rPr>
        <w:t>Unfortunately</w:t>
      </w:r>
      <w:r w:rsidR="00FE0BB6">
        <w:rPr>
          <w:lang w:val="en-GB"/>
        </w:rPr>
        <w:t xml:space="preserve">, breast volume was not </w:t>
      </w:r>
      <w:r w:rsidR="00EB7DA6">
        <w:rPr>
          <w:lang w:val="en-GB"/>
        </w:rPr>
        <w:t>objectively</w:t>
      </w:r>
      <w:r w:rsidR="00FE0BB6">
        <w:rPr>
          <w:lang w:val="en-GB"/>
        </w:rPr>
        <w:t xml:space="preserve"> measured</w:t>
      </w:r>
      <w:r w:rsidR="008945A4">
        <w:rPr>
          <w:lang w:val="en-GB"/>
        </w:rPr>
        <w:t xml:space="preserve"> in </w:t>
      </w:r>
      <w:r w:rsidR="00EB7DA6">
        <w:rPr>
          <w:lang w:val="en-GB"/>
        </w:rPr>
        <w:t xml:space="preserve">our </w:t>
      </w:r>
      <w:r w:rsidR="008945A4">
        <w:rPr>
          <w:lang w:val="en-GB"/>
        </w:rPr>
        <w:t>study</w:t>
      </w:r>
      <w:r w:rsidR="00EB7DA6">
        <w:rPr>
          <w:lang w:val="en-GB"/>
        </w:rPr>
        <w:t>, however, in most MtF adolescents, breast growth was limited or at best moderate in some. In line with this, many adolescents indicated a desire for later breast augmentation surgery</w:t>
      </w:r>
      <w:r w:rsidR="00FE0BB6">
        <w:rPr>
          <w:lang w:val="en-GB"/>
        </w:rPr>
        <w:t xml:space="preserve">. </w:t>
      </w:r>
      <w:r w:rsidR="00447DDF">
        <w:rPr>
          <w:lang w:val="en-GB"/>
        </w:rPr>
        <w:t>During CA, fatigue was the most reported side effect, whilst during C</w:t>
      </w:r>
      <w:r w:rsidR="00F310DF">
        <w:rPr>
          <w:lang w:val="en-GB"/>
        </w:rPr>
        <w:t>A</w:t>
      </w:r>
      <w:r w:rsidR="00447DDF">
        <w:rPr>
          <w:lang w:val="en-GB"/>
        </w:rPr>
        <w:t xml:space="preserve">+E </w:t>
      </w:r>
      <w:r w:rsidR="00CE71DD">
        <w:rPr>
          <w:lang w:val="en-GB"/>
        </w:rPr>
        <w:t xml:space="preserve">increased hunger, </w:t>
      </w:r>
      <w:r w:rsidR="00447DDF">
        <w:rPr>
          <w:lang w:val="en-GB"/>
        </w:rPr>
        <w:t xml:space="preserve">emotionality and tenderness of </w:t>
      </w:r>
      <w:r w:rsidR="008945A4">
        <w:rPr>
          <w:lang w:val="en-GB"/>
        </w:rPr>
        <w:t xml:space="preserve">nipples/breasts </w:t>
      </w:r>
      <w:r w:rsidR="00447DDF">
        <w:rPr>
          <w:lang w:val="en-GB"/>
        </w:rPr>
        <w:t xml:space="preserve">were </w:t>
      </w:r>
      <w:r w:rsidR="00EB7DA6">
        <w:rPr>
          <w:lang w:val="en-GB"/>
        </w:rPr>
        <w:t>often</w:t>
      </w:r>
      <w:r w:rsidR="001964C8">
        <w:rPr>
          <w:lang w:val="en-GB"/>
        </w:rPr>
        <w:t xml:space="preserve"> reported</w:t>
      </w:r>
      <w:r w:rsidR="00447DDF">
        <w:rPr>
          <w:lang w:val="en-GB"/>
        </w:rPr>
        <w:t>. No</w:t>
      </w:r>
      <w:r w:rsidR="000628B5">
        <w:rPr>
          <w:lang w:val="en-GB"/>
        </w:rPr>
        <w:t>ne of our</w:t>
      </w:r>
      <w:r w:rsidR="00447DDF">
        <w:rPr>
          <w:lang w:val="en-GB"/>
        </w:rPr>
        <w:t xml:space="preserve"> patients had </w:t>
      </w:r>
      <w:r w:rsidR="000628B5">
        <w:rPr>
          <w:lang w:val="en-GB"/>
        </w:rPr>
        <w:t xml:space="preserve">a </w:t>
      </w:r>
      <w:r w:rsidR="00447DDF">
        <w:rPr>
          <w:lang w:val="en-GB"/>
        </w:rPr>
        <w:t xml:space="preserve">venous thrombosis </w:t>
      </w:r>
      <w:r w:rsidR="00EB7DA6">
        <w:rPr>
          <w:lang w:val="en-GB"/>
        </w:rPr>
        <w:t xml:space="preserve">event </w:t>
      </w:r>
      <w:r w:rsidR="000628B5">
        <w:rPr>
          <w:lang w:val="en-GB"/>
        </w:rPr>
        <w:t xml:space="preserve">during </w:t>
      </w:r>
      <w:r w:rsidR="00447DDF">
        <w:rPr>
          <w:lang w:val="en-GB"/>
        </w:rPr>
        <w:t>treatment.</w:t>
      </w:r>
    </w:p>
    <w:p w14:paraId="35A67CC3" w14:textId="547BE424" w:rsidR="00447DDF" w:rsidRPr="005C7996" w:rsidRDefault="00447DDF" w:rsidP="00C942CA">
      <w:pPr>
        <w:pStyle w:val="Kop3"/>
        <w:rPr>
          <w:lang w:val="en-GB"/>
        </w:rPr>
      </w:pPr>
      <w:bookmarkStart w:id="64" w:name="_Toc451961520"/>
      <w:r w:rsidRPr="00B02A67">
        <w:rPr>
          <w:lang w:val="en-GB"/>
        </w:rPr>
        <w:t>Ant</w:t>
      </w:r>
      <w:r w:rsidR="00AA514B">
        <w:rPr>
          <w:lang w:val="en-GB"/>
        </w:rPr>
        <w:t>h</w:t>
      </w:r>
      <w:r w:rsidRPr="00B02A67">
        <w:rPr>
          <w:lang w:val="en-GB"/>
        </w:rPr>
        <w:t>ropometrics</w:t>
      </w:r>
      <w:bookmarkEnd w:id="64"/>
    </w:p>
    <w:p w14:paraId="11F6CABB" w14:textId="19BAB620" w:rsidR="007C2CA9" w:rsidRDefault="00C42029" w:rsidP="008945A4">
      <w:pPr>
        <w:spacing w:line="360" w:lineRule="auto"/>
        <w:jc w:val="both"/>
        <w:rPr>
          <w:rFonts w:asciiTheme="majorHAnsi" w:eastAsiaTheme="majorEastAsia" w:hAnsiTheme="majorHAnsi" w:cstheme="majorBidi"/>
          <w:b/>
          <w:bCs/>
          <w:color w:val="4F81BD" w:themeColor="accent1"/>
          <w:lang w:val="en-GB"/>
        </w:rPr>
      </w:pPr>
      <w:r>
        <w:rPr>
          <w:lang w:val="en-GB"/>
        </w:rPr>
        <w:t>A</w:t>
      </w:r>
      <w:r w:rsidR="00447DDF">
        <w:rPr>
          <w:lang w:val="en-GB"/>
        </w:rPr>
        <w:t>ndrogen deprivation therapy</w:t>
      </w:r>
      <w:r w:rsidR="006D51AE">
        <w:rPr>
          <w:lang w:val="en-GB"/>
        </w:rPr>
        <w:t xml:space="preserve"> </w:t>
      </w:r>
      <w:r w:rsidR="00EB7DA6">
        <w:rPr>
          <w:lang w:val="en-GB"/>
        </w:rPr>
        <w:t xml:space="preserve">in </w:t>
      </w:r>
      <w:r w:rsidR="00447DDF">
        <w:rPr>
          <w:lang w:val="en-GB"/>
        </w:rPr>
        <w:t>adult males</w:t>
      </w:r>
      <w:r>
        <w:rPr>
          <w:lang w:val="en-GB"/>
        </w:rPr>
        <w:t xml:space="preserve"> has been associated with</w:t>
      </w:r>
      <w:r w:rsidR="00447DDF">
        <w:rPr>
          <w:lang w:val="en-GB"/>
        </w:rPr>
        <w:t xml:space="preserve"> </w:t>
      </w:r>
      <w:r w:rsidR="00EB7DA6">
        <w:rPr>
          <w:lang w:val="en-GB"/>
        </w:rPr>
        <w:t xml:space="preserve">an </w:t>
      </w:r>
      <w:r w:rsidR="00447DDF">
        <w:rPr>
          <w:lang w:val="en-GB"/>
        </w:rPr>
        <w:t>increase</w:t>
      </w:r>
      <w:r>
        <w:rPr>
          <w:lang w:val="en-GB"/>
        </w:rPr>
        <w:t xml:space="preserve"> in weight and BMI</w:t>
      </w:r>
      <w:r w:rsidR="00447DDF">
        <w:rPr>
          <w:lang w:val="en-GB"/>
        </w:rPr>
        <w:t xml:space="preserve">, </w:t>
      </w:r>
      <w:r w:rsidR="00EB7DA6">
        <w:rPr>
          <w:lang w:val="en-GB"/>
        </w:rPr>
        <w:t xml:space="preserve">and </w:t>
      </w:r>
      <w:r w:rsidR="00447DDF">
        <w:rPr>
          <w:lang w:val="en-GB"/>
        </w:rPr>
        <w:t>a decrease</w:t>
      </w:r>
      <w:r w:rsidR="00EB7DA6">
        <w:rPr>
          <w:lang w:val="en-GB"/>
        </w:rPr>
        <w:t xml:space="preserve"> in</w:t>
      </w:r>
      <w:r w:rsidR="00447DDF">
        <w:rPr>
          <w:lang w:val="en-GB"/>
        </w:rPr>
        <w:t xml:space="preserve"> lean body mass </w:t>
      </w:r>
      <w:r w:rsidR="007A3EDC">
        <w:rPr>
          <w:lang w:val="en-GB"/>
        </w:rPr>
        <w:fldChar w:fldCharType="begin" w:fldLock="1"/>
      </w:r>
      <w:r w:rsidR="002C52CA">
        <w:rPr>
          <w:lang w:val="en-GB"/>
        </w:rPr>
        <w:instrText>ADDIN CSL_CITATION { "citationItems" : [ { "id" : "ITEM-1", "itemData" : { "DOI" : "10.1007/s11764-009-0114-1", "ISBN" : "1932-2259", "ISSN" : "1932-2267", "PMID" : "20091248", "abstract" : "INTRODUCTION: The use of androgen deprivation therapy (ADT) in the treatment of prostate cancer is associated with changes in body composition including increased fat and decreased lean mass. Limited information exists regarding the rate and extent of these changes. This systematic review was conducted to determine the effects of ADT on body composition in prostate cancer patients.\\n\\nMETHODS: Literature searches were conducted on MEDLINE, EMBASE and Web of Science for studies until January 2009. Only longitudinal studies that examined ADT and body composition in prostate cancer patients were included. Data were extracted on body weight, BMI, percentage of fat mass and lean body mass.\\n\\nRESULTS: Sixteen studies (14 cohorts and 2 RCTs) met the inclusion criteria. Pooled data, calculated according to a random effects model, showed that ADT increased % body fat by on average 7.7% (95% CI 4.3, 11.2, from seven studies, P &lt; 0.0001) and decreased % lean body mass by on average -2.8% (95% CI -3.6, -2.0, from six studies, P &lt; 0.0001) but for both there was marked heterogeneity between studies (I2 = 99% I2 = 73%, respectively). Similarly, body weight (2.1%, P &lt; 0.0001 from nine studies) and BMI (2.2%, P &lt; 0.0001, from eight studies) increased significantly. More extensive changes were seen with longer duration of treatment.\\n\\nCONCLUSIONS: Substantial increases in fat and declines in lean mass were observed in prostate cancer patients treated with ADT. Lifestyle changes or suitable interventions to minimize the effect of ADT on body composition need to be investigated.\\n\\nIMPLICATIONS FOR CANCER SURVIVORS: Prostate cancer survivors should be made aware of the side effect of treatment on body composition and further work is required to determine what interventions can minimize the impact of ADT on body composition and therefore what evidence based advice they should be provided with. In general, though recommendation of a healthy diet and moderate exercise is reasonable.", "author" : [ { "dropping-particle" : "", "family" : "Haseen", "given" : "Farhana", "non-dropping-particle" : "", "parse-names" : false, "suffix" : "" }, { "dropping-particle" : "", "family" : "Murray", "given" : "Liam J", "non-dropping-particle" : "", "parse-names" : false, "suffix" : "" }, { "dropping-particle" : "", "family" : "Cardwell", "given" : "Chris R", "non-dropping-particle" : "", "parse-names" : false, "suffix" : "" }, { "dropping-particle" : "", "family" : "O'Sullivan", "given" : "Joe M", "non-dropping-particle" : "", "parse-names" : false, "suffix" : "" }, { "dropping-particle" : "", "family" : "Cantwell", "given" : "Marie M", "non-dropping-particle" : "", "parse-names" : false, "suffix" : "" } ], "container-title" : "Journal of cancer survivorship : research and practice", "id" : "ITEM-1", "issue" : "2", "issued" : { "date-parts" : [ [ "2010" ] ] }, "page" : "128-39", "title" : "The effect of androgen deprivation therapy on body composition in men with prostate cancer: systematic review and meta-analysis.", "type" : "article-journal", "volume" : "4" }, "uris" : [ "http://www.mendeley.com/documents/?uuid=68b5e36f-ee7b-401a-a04c-d6cdd1c0d58a" ] } ], "mendeley" : { "formattedCitation" : "(83)", "plainTextFormattedCitation" : "(83)", "previouslyFormattedCitation" : "(83)" }, "properties" : { "noteIndex" : 0 }, "schema" : "https://github.com/citation-style-language/schema/raw/master/csl-citation.json" }</w:instrText>
      </w:r>
      <w:r w:rsidR="007A3EDC">
        <w:rPr>
          <w:lang w:val="en-GB"/>
        </w:rPr>
        <w:fldChar w:fldCharType="separate"/>
      </w:r>
      <w:r w:rsidR="002C52CA" w:rsidRPr="002C52CA">
        <w:rPr>
          <w:noProof/>
          <w:lang w:val="en-GB"/>
        </w:rPr>
        <w:t>(83)</w:t>
      </w:r>
      <w:r w:rsidR="007A3EDC">
        <w:rPr>
          <w:lang w:val="en-GB"/>
        </w:rPr>
        <w:fldChar w:fldCharType="end"/>
      </w:r>
      <w:r w:rsidR="00447DDF">
        <w:rPr>
          <w:lang w:val="en-GB"/>
        </w:rPr>
        <w:t>. In adult transgenders, C</w:t>
      </w:r>
      <w:r w:rsidR="00F310DF">
        <w:rPr>
          <w:lang w:val="en-GB"/>
        </w:rPr>
        <w:t>A</w:t>
      </w:r>
      <w:r w:rsidR="00447DDF">
        <w:rPr>
          <w:lang w:val="en-GB"/>
        </w:rPr>
        <w:t>+E similar</w:t>
      </w:r>
      <w:r w:rsidR="006F5FA0">
        <w:rPr>
          <w:lang w:val="en-GB"/>
        </w:rPr>
        <w:t>ly increases</w:t>
      </w:r>
      <w:r w:rsidR="00447DDF">
        <w:rPr>
          <w:lang w:val="en-GB"/>
        </w:rPr>
        <w:t xml:space="preserve"> weight and body fat</w:t>
      </w:r>
      <w:r w:rsidR="001B3F9F">
        <w:rPr>
          <w:lang w:val="en-GB"/>
        </w:rPr>
        <w:t xml:space="preserve"> </w:t>
      </w:r>
      <w:r w:rsidR="007A3EDC">
        <w:rPr>
          <w:lang w:val="en-GB"/>
        </w:rPr>
        <w:fldChar w:fldCharType="begin" w:fldLock="1"/>
      </w:r>
      <w:r w:rsidR="002C52CA">
        <w:rPr>
          <w:lang w:val="en-GB"/>
        </w:rPr>
        <w:instrText>ADDIN CSL_CITATION { "citationItems" : [ { "id" : "ITEM-1", "itemData" : { "DOI" : "10.1111/jsm.12571", "ISSN" : "17436095", "author" : [ { "dropping-particle" : "", "family" : "Wierckx", "given" : "Katrien", "non-dropping-particle" : "", "parse-names" : false, "suffix" : "" }, { "dropping-particle" : "", "family" : "Caenegem", "given" : "Eva", "non-dropping-particle" : "Van", "parse-names" : false, "suffix" : "" }, { "dropping-particle" : "", "family" : "Schreiner", "given" : "Thomas", "non-dropping-particle" : "", "parse-names" : false, "suffix" : "" }, { "dropping-particle" : "", "family" : "Haraldsen", "given" : "Ira", "non-dropping-particle" : "", "parse-names" : false, "suffix" : "" }, { "dropping-particle" : "", "family" : "Fisher", "given" : "Alessandra", "non-dropping-particle" : "", "parse-names" : false, "suffix" : "" }, { "dropping-particle" : "", "family" : "Toye", "given" : "Kaatje", "non-dropping-particle" : "", "parse-names" : false, "suffix" : "" }, { "dropping-particle" : "", "family" : "Kaufman", "given" : "Jean Marc", "non-dropping-particle" : "", "parse-names" : false, "suffix" : "" }, { "dropping-particle" : "", "family" : "T'Sjoen", "given" : "Guy", "non-dropping-particle" : "", "parse-names" : false, "suffix" : "" } ], "container-title" : "The Journal of Sexual Medicine", "id" : "ITEM-1", "issued" : { "date-parts" : [ [ "2014" ] ] }, "page" : "1999-2011", "title" : "Cross-Sex Hormone Therapy in Trans Persons Is Safe and Effective at Short-Time Follow-Up: Results from the European Network for the Investigation of Gender Incongruence", "type" : "article-journal", "volume" : "11" }, "uris" : [ "http://www.mendeley.com/documents/?uuid=ed3a7a4a-3e69-4e5a-b892-b9eca8c4e3e8" ] }, { "id" : "ITEM-2", "itemData" : { "DOI" : "10.1007/s00198-014-2805-3", "ISBN" : "0937-941x", "ISSN" : "1433-2965", "PMID" : "25377496", "abstract" : "UNLABELLED: Although trans women before the start of hormonal therapy have a less bone and muscle mass compared with control men, their bone mass and geometry are preserved during the first 2\u00a0years of hormonal therapy, despite of substantial muscle loss, illustrating the major role of estrogen in the male skeleton.\\n\\nPURPOSE: The aim of this study is to examine the evolution of areal and volumetric bone density, geometry, and turnover in trans women undergoing sex steroid changes, during the first 2\u00a0years of hormonal therapy.\\n\\nMETHODS: In a prospective observational study, we examined 49 trans women (male-to-female) before and after 1 and 2\u00a0years of cross-sex hormonal therapy (CSH) in comparison with 49 age-matched control men measuring grip strength (hand dynamometer), areal bone mineral density (aBMD), and total body fat and lean mass using dual X-ray absorptiometry (DXA), bone geometry and volumetric bone mineral density, regional fat, and muscle area at the forearm and calf using peripheral quantitative computed tomography. Standardized treatment regimens were used with oral estradiol valerate, 4\u00a0mg daily (or transdermal 17-\u03b2 estradiol 100\u00a0\u03bcg/24\u00a0h for patients &gt;45\u00a0years old), both combined with oral cyproterone acetate 50\u00a0mg daily.\\n\\nRESULTS: Prior to CSH, trans women had lower aBMD at all measured sites (all p\u2009&lt;\u20090.001), smaller cortical bone size (all p\u2009&lt;\u20090.05), and lower muscle mass and strength and lean body mass (all p\u2009&lt;\u20090.05) compared with control men. During CSH, muscle mass and strength decreased and all measures of fat mass increased (all p\u2009&lt;\u20090.001). The aBMD increased at the femoral neck, radius, lumbar spine, and total body; cortical and trabecular bone remained stable and bone turnover markers decreased (all p\u2009&lt;\u20090.05).\\n\\nCONCLUSIONS: Although trans women, before CSH, have a lower aBMD and cortical bone size compared with control men, their skeletal status is well preserved during CSH treatment, despite of substantial muscle loss.", "author" : [ { "dropping-particle" : "", "family" : "Caenegem", "given" : "E", "non-dropping-particle" : "Van", "parse-names" : false, "suffix" : "" }, { "dropping-particle" : "", "family" : "Wierckx", "given" : "K", "non-dropping-particle" : "", "parse-names" : false, "suffix" : "" }, { "dropping-particle" : "", "family" : "Taes", "given" : "Y", "non-dropping-particle" : "", "parse-names" : false, "suffix" : "" }, { "dropping-particle" : "", "family" : "Schreiner", "given" : "T", "non-dropping-particle" : "", "parse-names" : false, "suffix" : "" }, { "dropping-particle" : "", "family" : "Vandewalle", "given" : "S", "non-dropping-particle" : "", "parse-names" : false, "suffix" : "" }, { "dropping-particle" : "", "family" : "Toye", "given" : "K", "non-dropping-particle" : "", "parse-names" : false, "suffix" : "" }, { "dropping-particle" : "", "family" : "Kaufman", "given" : "J-M", "non-dropping-particle" : "", "parse-names" : false, "suffix" : "" }, { "dropping-particle" : "", "family" : "T'Sjoen", "given" : "G", "non-dropping-particle" : "", "parse-names" : false, "suffix" : "" } ], "container-title" : "Osteoporosis international : a journal established as result of cooperation between the European Foundation for Osteoporosis and the National Osteoporosis Foundation of the USA", "id" : "ITEM-2", "issue" : "1", "issued" : { "date-parts" : [ [ "2015" ] ] }, "page" : "35-47", "title" : "Preservation of volumetric bone density and geometry in trans women during cross-sex hormonal therapy: a prospective observational study.", "type" : "article-journal", "volume" : "26" }, "uris" : [ "http://www.mendeley.com/documents/?uuid=189a272a-d554-40da-a1a6-d2c8c7918c3b" ] } ], "mendeley" : { "formattedCitation" : "(18,38)", "plainTextFormattedCitation" : "(18,38)", "previouslyFormattedCitation" : "(18,38)" }, "properties" : { "noteIndex" : 0 }, "schema" : "https://github.com/citation-style-language/schema/raw/master/csl-citation.json" }</w:instrText>
      </w:r>
      <w:r w:rsidR="007A3EDC">
        <w:rPr>
          <w:lang w:val="en-GB"/>
        </w:rPr>
        <w:fldChar w:fldCharType="separate"/>
      </w:r>
      <w:r w:rsidR="00C7364E" w:rsidRPr="00C7364E">
        <w:rPr>
          <w:noProof/>
          <w:lang w:val="en-GB"/>
        </w:rPr>
        <w:t>(18,38)</w:t>
      </w:r>
      <w:r w:rsidR="007A3EDC">
        <w:rPr>
          <w:lang w:val="en-GB"/>
        </w:rPr>
        <w:fldChar w:fldCharType="end"/>
      </w:r>
      <w:r w:rsidR="00447DDF">
        <w:rPr>
          <w:lang w:val="en-GB"/>
        </w:rPr>
        <w:t>. Even though</w:t>
      </w:r>
      <w:r w:rsidR="000628B5">
        <w:rPr>
          <w:lang w:val="en-GB"/>
        </w:rPr>
        <w:t xml:space="preserve">, based on these studies </w:t>
      </w:r>
      <w:r w:rsidR="00447DDF">
        <w:rPr>
          <w:lang w:val="en-GB"/>
        </w:rPr>
        <w:t xml:space="preserve">a pronounced weight gain was expected, </w:t>
      </w:r>
      <w:r w:rsidR="008945A4">
        <w:rPr>
          <w:lang w:val="en-GB"/>
        </w:rPr>
        <w:t>changes in weight and BMI over the entire study were very small and clinically irrelevant.</w:t>
      </w:r>
      <w:r w:rsidR="00447DDF">
        <w:rPr>
          <w:lang w:val="en-GB"/>
        </w:rPr>
        <w:t xml:space="preserve"> Since people with GD are more prone to body dissatisfaction</w:t>
      </w:r>
      <w:r w:rsidR="002C52CA">
        <w:rPr>
          <w:lang w:val="en-GB"/>
        </w:rPr>
        <w:t xml:space="preserve"> </w:t>
      </w:r>
      <w:r w:rsidR="002C52CA">
        <w:rPr>
          <w:lang w:val="en-GB"/>
        </w:rPr>
        <w:fldChar w:fldCharType="begin" w:fldLock="1"/>
      </w:r>
      <w:r w:rsidR="002C52CA">
        <w:rPr>
          <w:lang w:val="en-GB"/>
        </w:rPr>
        <w:instrText>ADDIN CSL_CITATION { "citationItems" : [ { "id" : "ITEM-1", "itemData" : { "DOI" : "10.1007/s10508-015-0614-1", "ISSN" : "0004-0002", "PMID" : "26474976", "author" : [ { "dropping-particle" : "", "family" : "Grift", "given" : "Tim C.", "non-dropping-particle" : "van de", "parse-names" : false, "suffix" : "" }, { "dropping-particle" : "", "family" : "Cohen-Kettenis", "given" : "Peggy T.", "non-dropping-particle" : "", "parse-names" : false, "suffix" : "" }, { "dropping-particle" : "", "family" : "Steensma", "given" : "Thomas D.", "non-dropping-particle" : "", "parse-names" : false, "suffix" : "" }, { "dropping-particle" : "", "family" : "Cuypere", "given" : "Griet", "non-dropping-particle" : "De", "parse-names" : false, "suffix" : "" }, { "dropping-particle" : "", "family" : "Richter-Appelt", "given" : "Hertha", "non-dropping-particle" : "", "parse-names" : false, "suffix" : "" }, { "dropping-particle" : "", "family" : "Haraldsen", "given" : "Ira R. H.", "non-dropping-particle" : "", "parse-names" : false, "suffix" : "" }, { "dropping-particle" : "", "family" : "Dikmans", "given" : "Rieky E. G.", "non-dropping-particle" : "", "parse-names" : false, "suffix" : "" }, { "dropping-particle" : "", "family" : "Cerwenka", "given" : "Susanne C.", "non-dropping-particle" : "", "parse-names" : false, "suffix" : "" }, { "dropping-particle" : "", "family" : "Kreukels", "given" : "Baudewijntje P. C.", "non-dropping-particle" : "", "parse-names" : false, "suffix" : "" } ], "container-title" : "Archives of Sexual Behavior", "id" : "ITEM-1", "issued" : { "date-parts" : [ [ "2015" ] ] }, "publisher" : "Springer US", "title" : "Body Satisfaction and Physical Appearance in Gender Dysphoria", "type" : "article-journal" }, "uris" : [ "http://www.mendeley.com/documents/?uuid=9787627e-5b7c-43ba-a71b-45d0e6434d7e" ] } ], "mendeley" : { "formattedCitation" : "(84)", "plainTextFormattedCitation" : "(84)", "previouslyFormattedCitation" : "(85)" }, "properties" : { "noteIndex" : 0 }, "schema" : "https://github.com/citation-style-language/schema/raw/master/csl-citation.json" }</w:instrText>
      </w:r>
      <w:r w:rsidR="002C52CA">
        <w:rPr>
          <w:lang w:val="en-GB"/>
        </w:rPr>
        <w:fldChar w:fldCharType="separate"/>
      </w:r>
      <w:r w:rsidR="002C52CA" w:rsidRPr="002C52CA">
        <w:rPr>
          <w:noProof/>
          <w:lang w:val="en-GB"/>
        </w:rPr>
        <w:t>(84)</w:t>
      </w:r>
      <w:r w:rsidR="002C52CA">
        <w:rPr>
          <w:lang w:val="en-GB"/>
        </w:rPr>
        <w:fldChar w:fldCharType="end"/>
      </w:r>
      <w:r w:rsidR="00447DDF">
        <w:rPr>
          <w:lang w:val="en-GB"/>
        </w:rPr>
        <w:t xml:space="preserve">, </w:t>
      </w:r>
      <w:r w:rsidR="001B3F9F">
        <w:rPr>
          <w:lang w:val="en-GB"/>
        </w:rPr>
        <w:t xml:space="preserve">we cannot exclude the possibility that </w:t>
      </w:r>
      <w:r w:rsidR="00447DDF">
        <w:rPr>
          <w:lang w:val="en-GB"/>
        </w:rPr>
        <w:t xml:space="preserve">the status quo in BMI </w:t>
      </w:r>
      <w:r w:rsidR="001B3F9F">
        <w:rPr>
          <w:lang w:val="en-GB"/>
        </w:rPr>
        <w:t xml:space="preserve">resulted from </w:t>
      </w:r>
      <w:r w:rsidR="00447DDF">
        <w:rPr>
          <w:lang w:val="en-GB"/>
        </w:rPr>
        <w:t>changes in diet and physical exercise of the adolescents to prevent weight gain and co</w:t>
      </w:r>
      <w:r w:rsidR="002C31A7">
        <w:rPr>
          <w:lang w:val="en-GB"/>
        </w:rPr>
        <w:t>nform more to the female ideals</w:t>
      </w:r>
      <w:r w:rsidR="002C52CA">
        <w:rPr>
          <w:lang w:val="en-GB"/>
        </w:rPr>
        <w:t xml:space="preserve"> </w:t>
      </w:r>
      <w:r w:rsidR="002C52CA">
        <w:rPr>
          <w:lang w:val="en-GB"/>
        </w:rPr>
        <w:fldChar w:fldCharType="begin" w:fldLock="1"/>
      </w:r>
      <w:r w:rsidR="002C52CA">
        <w:rPr>
          <w:lang w:val="en-GB"/>
        </w:rPr>
        <w:instrText>ADDIN CSL_CITATION { "citationItems" : [ { "id" : "ITEM-1", "itemData" : { "DOI" : "10.3109/09540261.2015.1089217", "ISSN" : "1369-1627", "PMID" : "26618239", "abstract" : "Body dissatisfaction plays a prominent role in gender dysphoria. In some individuals body dissatisfaction appears to manifest disordered eating in order to suppress bodily features of natal gender and accentuate features of gender identity. To date, there has been no systematic review of the literature pertaining to body dissatisfaction and disordered eating in trans individuals. Such a review may highlight important implications for clinicians working with trans people. Therefore, the aim was to critically and systematically review the available literature examining body dissatisfaction or disordered eating in a trans population, and also the literature pertaining to how body dissatisfaction and disordered eating are related in trans people. This review found three studies that explored disordered eating in trans people, five studies that explored body image and disordered eating in trans people, and 18 studies that explored body image in trans people. The findings from this review suggest that body dissatisfaction is core to the distress trans people experience and that this dissatisfaction may also put some individuals at risk of developing disordered eating. Additionally, the findings appear to suggest that gender dysphoria treatment is successful at increasing body satisfaction and improving body image. The clinical implications are discussed.", "author" : [ { "dropping-particle" : "", "family" : "Jones", "given" : "Bethany Alice", "non-dropping-particle" : "", "parse-names" : false, "suffix" : "" }, { "dropping-particle" : "", "family" : "Haycraft", "given" : "Emma", "non-dropping-particle" : "", "parse-names" : false, "suffix" : "" }, { "dropping-particle" : "", "family" : "Murjan", "given" : "Sarah", "non-dropping-particle" : "", "parse-names" : false, "suffix" : "" }, { "dropping-particle" : "", "family" : "Arcelus", "given" : "Jon", "non-dropping-particle" : "", "parse-names" : false, "suffix" : "" } ], "container-title" : "International review of psychiatry (Abingdon, England)", "id" : "ITEM-1", "issue" : "1", "issued" : { "date-parts" : [ [ "2016", "2" ] ] }, "page" : "81-94", "title" : "Body dissatisfaction and disordered eating in trans people: A systematic review of the literature.", "type" : "article-journal", "volume" : "28" }, "uris" : [ "http://www.mendeley.com/documents/?uuid=52ad3bc5-56b0-4c7c-a1e8-f1d65d95d1c0" ] } ], "mendeley" : { "formattedCitation" : "(85)", "plainTextFormattedCitation" : "(85)", "previouslyFormattedCitation" : "(84)" }, "properties" : { "noteIndex" : 0 }, "schema" : "https://github.com/citation-style-language/schema/raw/master/csl-citation.json" }</w:instrText>
      </w:r>
      <w:r w:rsidR="002C52CA">
        <w:rPr>
          <w:lang w:val="en-GB"/>
        </w:rPr>
        <w:fldChar w:fldCharType="separate"/>
      </w:r>
      <w:r w:rsidR="002C52CA" w:rsidRPr="002C52CA">
        <w:rPr>
          <w:noProof/>
          <w:lang w:val="en-GB"/>
        </w:rPr>
        <w:t>(85)</w:t>
      </w:r>
      <w:r w:rsidR="002C52CA">
        <w:rPr>
          <w:lang w:val="en-GB"/>
        </w:rPr>
        <w:fldChar w:fldCharType="end"/>
      </w:r>
      <w:r w:rsidR="00447DDF">
        <w:rPr>
          <w:lang w:val="en-GB"/>
        </w:rPr>
        <w:t xml:space="preserve">. </w:t>
      </w:r>
    </w:p>
    <w:p w14:paraId="79030985" w14:textId="215D4397" w:rsidR="007C2CA9" w:rsidRDefault="007C2CA9" w:rsidP="007C2CA9">
      <w:pPr>
        <w:pStyle w:val="Kop3"/>
        <w:rPr>
          <w:lang w:val="en-GB"/>
        </w:rPr>
      </w:pPr>
      <w:bookmarkStart w:id="65" w:name="_Toc451961521"/>
      <w:r>
        <w:rPr>
          <w:lang w:val="en-GB"/>
        </w:rPr>
        <w:t>Safety parameters</w:t>
      </w:r>
      <w:bookmarkEnd w:id="65"/>
    </w:p>
    <w:p w14:paraId="6CFB2383" w14:textId="5051566F" w:rsidR="00C03789" w:rsidRDefault="00822809" w:rsidP="00743C3F">
      <w:pPr>
        <w:spacing w:line="360" w:lineRule="auto"/>
        <w:jc w:val="both"/>
        <w:rPr>
          <w:lang w:val="en-GB"/>
        </w:rPr>
      </w:pPr>
      <w:r>
        <w:rPr>
          <w:lang w:val="en-GB"/>
        </w:rPr>
        <w:t>Non</w:t>
      </w:r>
      <w:r w:rsidR="0029074B">
        <w:rPr>
          <w:lang w:val="en-GB"/>
        </w:rPr>
        <w:t>e</w:t>
      </w:r>
      <w:r>
        <w:rPr>
          <w:lang w:val="en-GB"/>
        </w:rPr>
        <w:t xml:space="preserve"> of the patients </w:t>
      </w:r>
      <w:r w:rsidR="0029074B">
        <w:rPr>
          <w:lang w:val="en-GB"/>
        </w:rPr>
        <w:t>had</w:t>
      </w:r>
      <w:r>
        <w:rPr>
          <w:lang w:val="en-GB"/>
        </w:rPr>
        <w:t xml:space="preserve"> to stop treatment because of adverse events. </w:t>
      </w:r>
      <w:r w:rsidR="00447DDF">
        <w:rPr>
          <w:lang w:val="en-GB"/>
        </w:rPr>
        <w:t xml:space="preserve">CA </w:t>
      </w:r>
      <w:r>
        <w:rPr>
          <w:lang w:val="en-GB"/>
        </w:rPr>
        <w:t xml:space="preserve">induced a </w:t>
      </w:r>
      <w:r w:rsidR="00447DDF">
        <w:rPr>
          <w:lang w:val="en-GB"/>
        </w:rPr>
        <w:t>decrease</w:t>
      </w:r>
      <w:r>
        <w:rPr>
          <w:lang w:val="en-GB"/>
        </w:rPr>
        <w:t xml:space="preserve"> in</w:t>
      </w:r>
      <w:r w:rsidR="00447DDF">
        <w:rPr>
          <w:lang w:val="en-GB"/>
        </w:rPr>
        <w:t xml:space="preserve"> </w:t>
      </w:r>
      <w:r w:rsidR="00C25F29">
        <w:rPr>
          <w:i/>
          <w:lang w:val="en-GB"/>
        </w:rPr>
        <w:t>H</w:t>
      </w:r>
      <w:r w:rsidR="00DF24B3">
        <w:rPr>
          <w:i/>
          <w:lang w:val="en-GB"/>
        </w:rPr>
        <w:t>b</w:t>
      </w:r>
      <w:r w:rsidR="00447DDF" w:rsidRPr="0028030A">
        <w:rPr>
          <w:i/>
          <w:lang w:val="en-GB"/>
        </w:rPr>
        <w:t xml:space="preserve"> and </w:t>
      </w:r>
      <w:r w:rsidR="00C25F29">
        <w:rPr>
          <w:i/>
          <w:lang w:val="en-GB"/>
        </w:rPr>
        <w:t>H</w:t>
      </w:r>
      <w:r w:rsidR="00DF24B3">
        <w:rPr>
          <w:i/>
          <w:lang w:val="en-GB"/>
        </w:rPr>
        <w:t>ct</w:t>
      </w:r>
      <w:r w:rsidR="00447DDF">
        <w:rPr>
          <w:lang w:val="en-GB"/>
        </w:rPr>
        <w:t xml:space="preserve"> levels, </w:t>
      </w:r>
      <w:r w:rsidR="00C25F29">
        <w:rPr>
          <w:lang w:val="en-GB"/>
        </w:rPr>
        <w:t xml:space="preserve">which stabilized </w:t>
      </w:r>
      <w:r w:rsidR="00447DDF">
        <w:rPr>
          <w:lang w:val="en-GB"/>
        </w:rPr>
        <w:t>during C</w:t>
      </w:r>
      <w:r w:rsidR="00F310DF">
        <w:rPr>
          <w:lang w:val="en-GB"/>
        </w:rPr>
        <w:t>A</w:t>
      </w:r>
      <w:r w:rsidR="00447DDF">
        <w:rPr>
          <w:lang w:val="en-GB"/>
        </w:rPr>
        <w:t xml:space="preserve">+E. </w:t>
      </w:r>
      <w:r w:rsidR="00743C3F">
        <w:rPr>
          <w:lang w:val="en-GB"/>
        </w:rPr>
        <w:t>However, e</w:t>
      </w:r>
      <w:r w:rsidR="00447DDF">
        <w:rPr>
          <w:lang w:val="en-GB"/>
        </w:rPr>
        <w:t xml:space="preserve">strogens have been </w:t>
      </w:r>
      <w:r w:rsidR="00617985">
        <w:rPr>
          <w:lang w:val="en-GB"/>
        </w:rPr>
        <w:t>shown</w:t>
      </w:r>
      <w:r w:rsidR="00447DDF">
        <w:rPr>
          <w:lang w:val="en-GB"/>
        </w:rPr>
        <w:t xml:space="preserve"> to be the cause of lower </w:t>
      </w:r>
      <w:r w:rsidR="00CB6131">
        <w:rPr>
          <w:lang w:val="en-GB"/>
        </w:rPr>
        <w:t>Hb</w:t>
      </w:r>
      <w:r w:rsidR="00447DDF">
        <w:rPr>
          <w:lang w:val="en-GB"/>
        </w:rPr>
        <w:t xml:space="preserve"> levels in women</w:t>
      </w:r>
      <w:r w:rsidR="000904B3">
        <w:rPr>
          <w:lang w:val="en-GB"/>
        </w:rPr>
        <w:t xml:space="preserve">, </w:t>
      </w:r>
      <w:r w:rsidR="00743C3F">
        <w:rPr>
          <w:lang w:val="en-GB"/>
        </w:rPr>
        <w:t>through</w:t>
      </w:r>
      <w:r w:rsidR="000904B3">
        <w:rPr>
          <w:lang w:val="en-GB"/>
        </w:rPr>
        <w:t xml:space="preserve"> </w:t>
      </w:r>
      <w:r w:rsidR="00E918EE">
        <w:rPr>
          <w:lang w:val="en-GB"/>
        </w:rPr>
        <w:t>vasodilatation of</w:t>
      </w:r>
      <w:r w:rsidR="000904B3">
        <w:rPr>
          <w:lang w:val="en-GB"/>
        </w:rPr>
        <w:t xml:space="preserve"> the microvasculature </w:t>
      </w:r>
      <w:r w:rsidR="00743C3F">
        <w:rPr>
          <w:lang w:val="en-GB"/>
        </w:rPr>
        <w:t>in</w:t>
      </w:r>
      <w:r w:rsidR="000904B3">
        <w:rPr>
          <w:lang w:val="en-GB"/>
        </w:rPr>
        <w:t xml:space="preserve"> the kidney, lead</w:t>
      </w:r>
      <w:r w:rsidR="00E918EE">
        <w:rPr>
          <w:lang w:val="en-GB"/>
        </w:rPr>
        <w:t xml:space="preserve">ing to higher </w:t>
      </w:r>
      <w:r w:rsidR="00CB6131">
        <w:rPr>
          <w:lang w:val="en-GB"/>
        </w:rPr>
        <w:t>Hct</w:t>
      </w:r>
      <w:r w:rsidR="00E918EE">
        <w:rPr>
          <w:lang w:val="en-GB"/>
        </w:rPr>
        <w:t xml:space="preserve"> levels in the juxtaglomerular apparatus</w:t>
      </w:r>
      <w:r w:rsidR="009008C9">
        <w:rPr>
          <w:lang w:val="en-GB"/>
        </w:rPr>
        <w:t xml:space="preserve"> through the Fåhraeus effect,</w:t>
      </w:r>
      <w:r w:rsidR="00E918EE">
        <w:rPr>
          <w:lang w:val="en-GB"/>
        </w:rPr>
        <w:t xml:space="preserve"> and thus</w:t>
      </w:r>
      <w:r w:rsidR="000904B3">
        <w:rPr>
          <w:lang w:val="en-GB"/>
        </w:rPr>
        <w:t xml:space="preserve"> lower</w:t>
      </w:r>
      <w:r w:rsidR="00E918EE">
        <w:rPr>
          <w:lang w:val="en-GB"/>
        </w:rPr>
        <w:t>ing</w:t>
      </w:r>
      <w:r w:rsidR="008B2C9B">
        <w:rPr>
          <w:lang w:val="en-GB"/>
        </w:rPr>
        <w:t xml:space="preserve"> the</w:t>
      </w:r>
      <w:r w:rsidR="000D2941">
        <w:rPr>
          <w:lang w:val="en-GB"/>
        </w:rPr>
        <w:t xml:space="preserve"> Hct</w:t>
      </w:r>
      <w:r w:rsidR="008B2C9B">
        <w:rPr>
          <w:lang w:val="en-GB"/>
        </w:rPr>
        <w:t xml:space="preserve"> </w:t>
      </w:r>
      <w:r w:rsidR="00B90A6F">
        <w:rPr>
          <w:lang w:val="en-GB"/>
        </w:rPr>
        <w:t>setpoint</w:t>
      </w:r>
      <w:r w:rsidR="00AE2B03">
        <w:rPr>
          <w:lang w:val="en-GB"/>
        </w:rPr>
        <w:t xml:space="preserve"> for</w:t>
      </w:r>
      <w:r w:rsidR="008B2C9B">
        <w:rPr>
          <w:lang w:val="en-GB"/>
        </w:rPr>
        <w:t xml:space="preserve"> erythropoiesis </w:t>
      </w:r>
      <w:r w:rsidR="007A3EDC">
        <w:rPr>
          <w:lang w:val="en-GB"/>
        </w:rPr>
        <w:fldChar w:fldCharType="begin" w:fldLock="1"/>
      </w:r>
      <w:r w:rsidR="002C52CA">
        <w:rPr>
          <w:lang w:val="en-GB"/>
        </w:rPr>
        <w:instrText>ADDIN CSL_CITATION { "citationItems" : [ { "id" : "ITEM-1", "itemData" : { "PMID" : "159", "abstract" : "OBJECTIVE: To describe the incidence, time to onset and extent of anaemia occurring in patients with prostate cancer receiving combined hormone blockade (CHB) and the timing and extent of recovery from anaemia in those patients where CHB was discontinued. PATIENTS AND METHODS: Patients with prostate cancer were evaluated prospectively by physical examination and laboratory tests at baseline and at routine intervals while receiving CHB. Of 142 patients who received CHB, 133 were evaluable for the assessment of anaemia; CHB was discontinued in 76 patients, of whom 64 were assessable for recovery from their anaemia. RESULTS: Haemoglobin levels declined significantly in all patients from a mean baseline of 149 g/L to means of 139 g/L, 132 g/L and 131 g/L at 1, 2 and 3 months, respectively. Haemoglobin levels continued to decline during CHB to a mean nadir of 123 g/L at a mean of 5.6 months of CHB, representing a mean absolute haemoglobin decline at nadir of 25.4 g/L. In 120 of the 133 (90%) patients, the relative decline in haemoglobin at nadir was &gt; or = 10% and was &gt; or = 25% in 17 (13%) others, representing a mean absolute haemoglobin decline in this subset of 42.7 g/L. Significant symptoms related to anaemia occurred in 17 patients (13%). Anaemia and symptoms in these patients were easily corrected with the subcutaneous administration of recombinant human erythropoietin. CONCLUSIONS: The anaemia associated with androgen deprivation is significant and occurs routinely in men receiving CHB. It is normochromic, normocytic, temporally-related to the initiation of androgen blockade and usually resolves after CHB is discontinued. We suggest that patients receiving CHB undergo haematological testing at baseline, 1-2 months after initiating CHB and periodically thereafter. Patients developing anaemia should be questioned about symptoms reflecting physiological compromise (e.g. angina, dyspnoea on exertion). In the absence of other causes, CHB should be suspected in the development of anaemia in patients receiving this treatment.", "author" : [ { "dropping-particle" : "", "family" : "Strum", "given" : "S E", "non-dropping-particle" : "", "parse-names" : false, "suffix" : "" }, { "dropping-particle" : "", "family" : "McDermed", "given" : "J E", "non-dropping-particle" : "", "parse-names" : false, "suffix" : "" }, { "dropping-particle" : "", "family" : "Scholz", "given" : "M C", "non-dropping-particle" : "", "parse-names" : false, "suffix" : "" }, { "dropping-particle" : "", "family" : "Johnson", "given" : "H", "non-dropping-particle" : "", "parse-names" : false, "suffix" : "" }, { "dropping-particle" : "", "family" : "Tisman", "given" : "G", "non-dropping-particle" : "", "parse-names" : false, "suffix" : "" } ], "container-title" : "British Journal of Urology", "id" : "ITEM-1", "issued" : { "date-parts" : [ [ "1997" ] ] }, "page" : "933-941", "title" : "Anaemia associated with androgen deprivation in patients with prostate cancer receiving combined hormone blockade", "type" : "article-journal", "volume" : "79" }, "uris" : [ "http://www.mendeley.com/documents/?uuid=752dfc95-24ea-4233-8889-59aacced8d1b" ] }, { "id" : "ITEM-2", "itemData" : { "DOI" : "10.1016/j.blre.2013.12.003", "ISSN" : "15321681", "PMID" : "24491804", "abstract" : "Men and women have different mean haemoglobin levels in health in venous blood - women have mean levels approximately 12% lower than men. A similar sex-related difference in haemoglobin levels in adult animals is found in many species of mammals, birds and reptiles, indicating that it is an important physiological phenomenon. It is probably a direct effect of sex hormones, both oestrogen and androgens, on erythropoiesis. However, since there is no difference in erythropoietin levels between the sexes, this effect most likely takes place in the kidney, rather than in the bone marrow. Oestrogens dilate and androgens constrict the renal microvasculature: dilation and vasoconstriction in vessels below 300. ??m in diameter respectively increase and decrease the haematocrit in blood in arterioles, capillaries and venules, altering the oxygen delivery per unit red cell mass, and providing a mechanism for varying the red cell mass without compensatory changes in erythropoiesis. ?? 2014 Elsevier Ltd.", "author" : [ { "dropping-particle" : "", "family" : "Murphy", "given" : "William G.", "non-dropping-particle" : "", "parse-names" : false, "suffix" : "" } ], "container-title" : "Blood Reviews", "id" : "ITEM-2", "issue" : "2", "issued" : { "date-parts" : [ [ "2014" ] ] }, "page" : "41-47", "publisher" : "Elsevier Ltd", "title" : "The sex difference in haemoglobin levels in adults - Mechanisms, causes, and consequences", "type" : "article-journal", "volume" : "28" }, "uris" : [ "http://www.mendeley.com/documents/?uuid=ed96b687-5ace-46bf-97c4-6dff37980500" ] } ], "mendeley" : { "formattedCitation" : "(86,87)", "plainTextFormattedCitation" : "(86,87)", "previouslyFormattedCitation" : "(86,87)" }, "properties" : { "noteIndex" : 0 }, "schema" : "https://github.com/citation-style-language/schema/raw/master/csl-citation.json" }</w:instrText>
      </w:r>
      <w:r w:rsidR="007A3EDC">
        <w:rPr>
          <w:lang w:val="en-GB"/>
        </w:rPr>
        <w:fldChar w:fldCharType="separate"/>
      </w:r>
      <w:r w:rsidR="00C7364E" w:rsidRPr="00C7364E">
        <w:rPr>
          <w:noProof/>
          <w:lang w:val="en-GB"/>
        </w:rPr>
        <w:t>(86,87)</w:t>
      </w:r>
      <w:r w:rsidR="007A3EDC">
        <w:rPr>
          <w:lang w:val="en-GB"/>
        </w:rPr>
        <w:fldChar w:fldCharType="end"/>
      </w:r>
      <w:r w:rsidR="00447DDF">
        <w:rPr>
          <w:lang w:val="en-GB"/>
        </w:rPr>
        <w:t>.</w:t>
      </w:r>
      <w:r w:rsidR="0028030A">
        <w:rPr>
          <w:lang w:val="en-GB"/>
        </w:rPr>
        <w:t xml:space="preserve"> </w:t>
      </w:r>
      <w:r w:rsidR="00447DDF" w:rsidRPr="0028030A">
        <w:rPr>
          <w:i/>
          <w:lang w:val="en-GB"/>
        </w:rPr>
        <w:t>Creatinine</w:t>
      </w:r>
      <w:r w:rsidR="00447DDF">
        <w:rPr>
          <w:lang w:val="en-GB"/>
        </w:rPr>
        <w:t xml:space="preserve"> </w:t>
      </w:r>
      <w:r w:rsidR="003B2BB9">
        <w:rPr>
          <w:lang w:val="en-GB"/>
        </w:rPr>
        <w:t>did not</w:t>
      </w:r>
      <w:r w:rsidR="00447DDF">
        <w:rPr>
          <w:lang w:val="en-GB"/>
        </w:rPr>
        <w:t xml:space="preserve"> significant</w:t>
      </w:r>
      <w:r w:rsidR="003B2BB9">
        <w:rPr>
          <w:lang w:val="en-GB"/>
        </w:rPr>
        <w:t>ly change</w:t>
      </w:r>
      <w:r w:rsidR="00447DDF">
        <w:rPr>
          <w:lang w:val="en-GB"/>
        </w:rPr>
        <w:t xml:space="preserve"> during treatment. The slight decrease at start of C</w:t>
      </w:r>
      <w:r w:rsidR="00617985">
        <w:rPr>
          <w:lang w:val="en-GB"/>
        </w:rPr>
        <w:t>A</w:t>
      </w:r>
      <w:r w:rsidR="00447DDF">
        <w:rPr>
          <w:lang w:val="en-GB"/>
        </w:rPr>
        <w:t xml:space="preserve">, </w:t>
      </w:r>
      <w:r w:rsidR="0029074B">
        <w:rPr>
          <w:lang w:val="en-GB"/>
        </w:rPr>
        <w:t>is possibly related to a</w:t>
      </w:r>
      <w:r w:rsidR="00447DDF">
        <w:rPr>
          <w:lang w:val="en-GB"/>
        </w:rPr>
        <w:t xml:space="preserve"> decrease in muscle </w:t>
      </w:r>
      <w:r w:rsidR="0029074B">
        <w:rPr>
          <w:lang w:val="en-GB"/>
        </w:rPr>
        <w:t xml:space="preserve">mass </w:t>
      </w:r>
      <w:r w:rsidR="003B2BB9">
        <w:rPr>
          <w:lang w:val="en-GB"/>
        </w:rPr>
        <w:t xml:space="preserve">due to CA, </w:t>
      </w:r>
      <w:r w:rsidR="004A372F">
        <w:rPr>
          <w:lang w:val="en-GB"/>
        </w:rPr>
        <w:t>as was shown in our third study</w:t>
      </w:r>
      <w:r w:rsidR="0029074B">
        <w:rPr>
          <w:lang w:val="en-GB"/>
        </w:rPr>
        <w:t xml:space="preserve"> </w:t>
      </w:r>
      <w:r w:rsidR="007A3EDC">
        <w:rPr>
          <w:lang w:val="en-GB"/>
        </w:rPr>
        <w:fldChar w:fldCharType="begin" w:fldLock="1"/>
      </w:r>
      <w:r w:rsidR="002C52CA">
        <w:rPr>
          <w:lang w:val="en-GB"/>
        </w:rPr>
        <w:instrText>ADDIN CSL_CITATION { "citationItems" : [ { "id" : "ITEM-1", "itemData" : { "DOI" : "10.2215/CJN.02870707", "ISBN" : "5511557463", "ISSN" : "1555-905X", "PMID" : "18235143", "abstract" : "BACKGROUND AND OBJECTIVES: For addressing the influence of muscle mass on serum and urinary creatinine and serum cystatin C, body composition was assessed by skinfold thickness measurement and bioelectrical impedance analyses. DESIGN, SETTING, PARTICIPANTS, &amp; MEASUREMENTS: A total of 170 healthy individuals (92 women, 78 men) were classified as sedentary or with mild or moderate/intense physical activity. Blood, 24-h urine samples, and 24-h food recall were obtained from all individuals. RESULTS: Serum and urinary creatinine correlated significantly with body weight, but the level of correlation with lean mass was even greater. There was no significant correlation between body weight and lean mass with cystatin C. Individuals with moderate/intense physical activity presented significantly lower mean body mass index (23.1 +/- 2.5 versus 25.7 +/- 3.9 kg/m(2)) and higher lean mass (55.3 +/- 10.0 versus 48.5 +/- 10.4%), serum creatinine (1.04 +/- 0.12 versus 0.95 +/- 0.17 mg/dl), urinary creatinine (1437 +/- 471 versus 1231 +/- 430 mg/24 h), protein intake (1.4 +/- 0.6 versus 1.1 +/- 0.6 g/kg per d), and meat intake (0.7 +/- 0.3 versus 0.5 +/- 0.4 g/kg per d) than the sedentary individuals. Conversely, mean serum cystatin did not differ between these two groups. A multivariate analysis of covariance showed that lean mass was significantly related to serum and urinary creatinine but not with cystatin, even after adjustment for protein/meat intake and physical activity. CONCLUSIONS: Cystatin C may represent a more adequate alternative to assess renal function in individuals with higher muscle mass when mild kidney impairment is suspected.", "author" : [ { "dropping-particle" : "", "family" : "Baxmann", "given" : "Alessandra Cal\u00e1bria", "non-dropping-particle" : "", "parse-names" : false, "suffix" : "" }, { "dropping-particle" : "", "family" : "Ahmed", "given" : "Marion Souza", "non-dropping-particle" : "", "parse-names" : false, "suffix" : "" }, { "dropping-particle" : "", "family" : "Marques", "given" : "Nat\u00e1lia Cristina", "non-dropping-particle" : "", "parse-names" : false, "suffix" : "" }, { "dropping-particle" : "", "family" : "Menon", "given" : "Viviane Barcellos", "non-dropping-particle" : "", "parse-names" : false, "suffix" : "" }, { "dropping-particle" : "", "family" : "Pereira", "given" : "Aparecido Bernardo", "non-dropping-particle" : "", "parse-names" : false, "suffix" : "" }, { "dropping-particle" : "", "family" : "Kirsztajn", "given" : "Gianna Mastroianni", "non-dropping-particle" : "", "parse-names" : false, "suffix" : "" }, { "dropping-particle" : "", "family" : "Heilberg", "given" : "Ita Pfeferman", "non-dropping-particle" : "", "parse-names" : false, "suffix" : "" } ], "container-title" : "Clinical journal of the American Society of Nephrology : CJASN", "id" : "ITEM-1", "issue" : "2", "issued" : { "date-parts" : [ [ "2008" ] ] }, "page" : "348-354", "title" : "Influence of muscle mass and physical activity on serum and urinary creatinine and serum cystatin C.", "type" : "article-journal", "volume" : "3" }, "uris" : [ "http://www.mendeley.com/documents/?uuid=22b30316-1640-4094-a5f8-a4df29366de7" ] } ], "mendeley" : { "formattedCitation" : "(62)", "plainTextFormattedCitation" : "(62)", "previouslyFormattedCitation" : "(62)" }, "properties" : { "noteIndex" : 0 }, "schema" : "https://github.com/citation-style-language/schema/raw/master/csl-citation.json" }</w:instrText>
      </w:r>
      <w:r w:rsidR="007A3EDC">
        <w:rPr>
          <w:lang w:val="en-GB"/>
        </w:rPr>
        <w:fldChar w:fldCharType="separate"/>
      </w:r>
      <w:r w:rsidR="00C7364E" w:rsidRPr="00C7364E">
        <w:rPr>
          <w:noProof/>
          <w:lang w:val="en-GB"/>
        </w:rPr>
        <w:t>(62)</w:t>
      </w:r>
      <w:r w:rsidR="007A3EDC">
        <w:rPr>
          <w:lang w:val="en-GB"/>
        </w:rPr>
        <w:fldChar w:fldCharType="end"/>
      </w:r>
      <w:r w:rsidR="00447DDF">
        <w:rPr>
          <w:lang w:val="en-GB"/>
        </w:rPr>
        <w:t xml:space="preserve">. CA in healthy men does not negatively influence </w:t>
      </w:r>
      <w:r w:rsidR="003B2BB9">
        <w:rPr>
          <w:lang w:val="en-GB"/>
        </w:rPr>
        <w:t xml:space="preserve">renal </w:t>
      </w:r>
      <w:r w:rsidR="00447DDF">
        <w:rPr>
          <w:lang w:val="en-GB"/>
        </w:rPr>
        <w:t xml:space="preserve">function, </w:t>
      </w:r>
      <w:r w:rsidR="000C0007">
        <w:rPr>
          <w:lang w:val="en-GB"/>
        </w:rPr>
        <w:t xml:space="preserve">whereas </w:t>
      </w:r>
      <w:r w:rsidR="00447DDF">
        <w:rPr>
          <w:lang w:val="en-GB"/>
        </w:rPr>
        <w:t>estrogen</w:t>
      </w:r>
      <w:r w:rsidR="00C03789">
        <w:rPr>
          <w:lang w:val="en-GB"/>
        </w:rPr>
        <w:t>s</w:t>
      </w:r>
      <w:r w:rsidR="00447DDF">
        <w:rPr>
          <w:lang w:val="en-GB"/>
        </w:rPr>
        <w:t xml:space="preserve"> </w:t>
      </w:r>
      <w:r w:rsidR="00C03789">
        <w:rPr>
          <w:lang w:val="en-GB"/>
        </w:rPr>
        <w:t xml:space="preserve">have even been shown </w:t>
      </w:r>
      <w:r w:rsidR="00447DDF">
        <w:rPr>
          <w:lang w:val="en-GB"/>
        </w:rPr>
        <w:t xml:space="preserve">to </w:t>
      </w:r>
      <w:r w:rsidR="003B2BB9">
        <w:rPr>
          <w:lang w:val="en-GB"/>
        </w:rPr>
        <w:t xml:space="preserve">have a </w:t>
      </w:r>
      <w:r w:rsidR="00447DDF">
        <w:rPr>
          <w:lang w:val="en-GB"/>
        </w:rPr>
        <w:t>renoprotective</w:t>
      </w:r>
      <w:r w:rsidR="003B2BB9">
        <w:rPr>
          <w:lang w:val="en-GB"/>
        </w:rPr>
        <w:t xml:space="preserve"> effect</w:t>
      </w:r>
      <w:r w:rsidR="00447DDF">
        <w:rPr>
          <w:lang w:val="en-GB"/>
        </w:rPr>
        <w:t xml:space="preserve"> </w:t>
      </w:r>
      <w:r w:rsidR="007A3EDC">
        <w:rPr>
          <w:lang w:val="en-GB"/>
        </w:rPr>
        <w:fldChar w:fldCharType="begin" w:fldLock="1"/>
      </w:r>
      <w:r w:rsidR="002C52CA">
        <w:rPr>
          <w:lang w:val="en-GB"/>
        </w:rPr>
        <w:instrText>ADDIN CSL_CITATION { "citationItems" : [ { "id" : "ITEM-1", "itemData" : { "PMID" : "7777099", "author" : [ { "dropping-particle" : "", "family" : "Strutz", "given" : "F", "non-dropping-particle" : "", "parse-names" : false, "suffix" : "" }, { "dropping-particle" : "", "family" : "M\u00fcller", "given" : "G a", "non-dropping-particle" : "", "parse-names" : false, "suffix" : "" } ], "container-title" : "Nephron", "id" : "ITEM-1", "issue" : "4", "issued" : { "date-parts" : [ [ "1995" ] ] }, "page" : "371-379", "title" : "The impact of gender on the progression of chronic renal disease.", "type" : "article-journal", "volume" : "69" }, "uris" : [ "http://www.mendeley.com/documents/?uuid=a1da58cb-1355-43f4-ab4f-0d5e9dfed6bd" ] }, { "id" : "ITEM-2", "itemData" : { "DOI" : "10.1152/ajprenal.00195.2004", "ISSN" : "0363-6127", "author" : [ { "dropping-particle" : "", "family" : "Mankhey", "given" : "R. W.", "non-dropping-particle" : "", "parse-names" : false, "suffix" : "" } ], "container-title" : "AJP: Renal Physiology", "id" : "ITEM-2", "issue" : "2", "issued" : { "date-parts" : [ [ "2004" ] ] }, "page" : "F399-F405", "title" : "17\u00a0-Estradiol replacement improves renal function and pathology associated with diabetic nephropathy", "type" : "article-journal", "volume" : "288" }, "uris" : [ "http://www.mendeley.com/documents/?uuid=536a64c0-6eec-4dc4-9a8e-23871be09ea4" ] }, { "id" : "ITEM-3", "itemData" : { "ISBN" : "0022-4251 (Print)\\r0022-4251 (Linking)", "PMID" : "4692335", "author" : [ { "dropping-particle" : "", "family" : "Morse", "given" : "H C", "non-dropping-particle" : "", "parse-names" : false, "suffix" : "" }, { "dropping-particle" : "", "family" : "Leach", "given" : "D R", "non-dropping-particle" : "", "parse-names" : false, "suffix" : "" }, { "dropping-particle" : "", "family" : "Rowley", "given" : "M J", "non-dropping-particle" : "", "parse-names" : false, "suffix" : "" }, { "dropping-particle" : "", "family" : "Heller", "given" : "C G", "non-dropping-particle" : "", "parse-names" : false, "suffix" : "" } ], "container-title" : "J Reprod Fertil", "id" : "ITEM-3", "issue" : "3", "issued" : { "date-parts" : [ [ "1973" ] ] }, "page" : "365-378", "title" : "Effect of cyproterone acetate on sperm concentration, seminal fluid volume, testicular cytology and levels of plasma and urinary ICSH, FSH and testosterone in normal men", "type" : "article-journal", "volume" : "32" }, "uris" : [ "http://www.mendeley.com/documents/?uuid=75ac6ba6-86c4-4f90-bce1-ecf37325060f" ] } ], "mendeley" : { "formattedCitation" : "(88\u201390)", "plainTextFormattedCitation" : "(88\u201390)", "previouslyFormattedCitation" : "(88\u201390)" }, "properties" : { "noteIndex" : 0 }, "schema" : "https://github.com/citation-style-language/schema/raw/master/csl-citation.json" }</w:instrText>
      </w:r>
      <w:r w:rsidR="007A3EDC">
        <w:rPr>
          <w:lang w:val="en-GB"/>
        </w:rPr>
        <w:fldChar w:fldCharType="separate"/>
      </w:r>
      <w:r w:rsidR="00C7364E" w:rsidRPr="00C7364E">
        <w:rPr>
          <w:noProof/>
          <w:lang w:val="en-GB"/>
        </w:rPr>
        <w:t>(88–90)</w:t>
      </w:r>
      <w:r w:rsidR="007A3EDC">
        <w:rPr>
          <w:lang w:val="en-GB"/>
        </w:rPr>
        <w:fldChar w:fldCharType="end"/>
      </w:r>
      <w:r w:rsidR="00447DDF">
        <w:rPr>
          <w:lang w:val="en-GB"/>
        </w:rPr>
        <w:t>.</w:t>
      </w:r>
    </w:p>
    <w:p w14:paraId="59147FB7" w14:textId="028CEC48" w:rsidR="00C03789" w:rsidRDefault="00F71BD5" w:rsidP="00743C3F">
      <w:pPr>
        <w:spacing w:line="360" w:lineRule="auto"/>
        <w:jc w:val="both"/>
        <w:rPr>
          <w:lang w:val="en-GB"/>
        </w:rPr>
      </w:pPr>
      <w:r>
        <w:rPr>
          <w:lang w:val="en-GB"/>
        </w:rPr>
        <w:lastRenderedPageBreak/>
        <w:t>T</w:t>
      </w:r>
      <w:r w:rsidR="0060445B">
        <w:rPr>
          <w:lang w:val="en-GB"/>
        </w:rPr>
        <w:t>ransient</w:t>
      </w:r>
      <w:r w:rsidR="00C03789">
        <w:rPr>
          <w:lang w:val="en-GB"/>
        </w:rPr>
        <w:t xml:space="preserve"> </w:t>
      </w:r>
      <w:r w:rsidR="00C03789" w:rsidRPr="006910CE">
        <w:rPr>
          <w:i/>
          <w:lang w:val="en-GB"/>
        </w:rPr>
        <w:t>ALT and AST</w:t>
      </w:r>
      <w:r w:rsidR="00447DDF">
        <w:rPr>
          <w:lang w:val="en-GB"/>
        </w:rPr>
        <w:t xml:space="preserve"> elevations were noticed</w:t>
      </w:r>
      <w:r w:rsidR="003B2BB9">
        <w:rPr>
          <w:lang w:val="en-GB"/>
        </w:rPr>
        <w:t xml:space="preserve"> sporadically</w:t>
      </w:r>
      <w:r w:rsidR="00C03789">
        <w:rPr>
          <w:lang w:val="en-GB"/>
        </w:rPr>
        <w:t xml:space="preserve">, in line with other reports </w:t>
      </w:r>
      <w:r w:rsidR="007A3EDC">
        <w:rPr>
          <w:lang w:val="en-GB"/>
        </w:rPr>
        <w:fldChar w:fldCharType="begin" w:fldLock="1"/>
      </w:r>
      <w:r w:rsidR="002C52CA">
        <w:rPr>
          <w:lang w:val="en-GB"/>
        </w:rPr>
        <w:instrText>ADDIN CSL_CITATION { "citationItems" : [ { "id" : "ITEM-1", "itemData" : { "DOI" : "10.1046/j.1365-2265.1997.2601068.x", "ISBN" : "1365-2265", "ISSN" : "0300-0664", "PMID" : "9373456", "abstract" : "OBJECTIVE: The optimum steroid hormone treatment regimes for transsexual subjects has not yet been established. We have investigated the mortality and morbidity figures in a large group of transsexual subjects receiving cross-sex hormone treatment. DESIGN: A retrospective, descriptive study in a university teaching hospital. SUBJECTS: Eight hundred and sixteen male-to-female (M--&gt;F) and 293 female-to-male (F--&gt;M) transsexuals. INTERVENTIONS: Subjects had been treated with cross-sex hormones for a total of 10,152 patient-years. OUTCOME MEASURES: Standardized mortality and incidence ratios were calculated from the general Dutch population (age- and gender-adjusted) and were also compared to side effects of cross-sex hormones in transsexuals reported in the literature. RESULTS: In both the M--&gt;F and F--&gt;M transsexuals, total mortality was not higher than in the general population and, largely, the observed mortality could not be related to hormone treatment. Venous thromboembolism was the major complication in M--&gt;F transsexuals treated with oral oestrogens and anti-androgens, but fewer cases were observed since the introduction of transdermal oestradiol in the treatment of transsexuals over 40 years of age. No cases of breast carcinoma but one case of prostatic carcinoma were encountered in our population. No serious morbidity was observed which could be related to androgen treatment in the F--&gt;M transsexuals. CONCLUSION: Mortality in male-to-female and female-to-male transsexuals is not increased during cross-sex hormone treatment. Transdermal oestradiol administration is recommended in male-to-female transsexuals, particularly in the population over 40 years in whom a high incidence of venous thromboembolism was observed with oral oestrogens. It seems that in view of the deep psychological needs of transsexuals to undergo sex reassignment, our treatment schedule of cross-sex hormone administration is acceptably safe.", "author" : [ { "dropping-particle" : "", "family" : "Kesteren", "given" : "P J", "non-dropping-particle" : "van", "parse-names" : false, "suffix" : "" }, { "dropping-particle" : "", "family" : "Asscheman", "given" : "H", "non-dropping-particle" : "", "parse-names" : false, "suffix" : "" }, { "dropping-particle" : "", "family" : "Megens", "given" : "J a", "non-dropping-particle" : "", "parse-names" : false, "suffix" : "" }, { "dropping-particle" : "", "family" : "Gooren", "given" : "L J", "non-dropping-particle" : "", "parse-names" : false, "suffix" : "" } ], "container-title" : "Clinical endocrinology", "id" : "ITEM-1", "issue" : "3", "issued" : { "date-parts" : [ [ "1997" ] ] }, "page" : "337-342", "title" : "Mortality and morbidity in transsexual subjects treated with cross-sex hormones.", "type" : "article-journal", "volume" : "47" }, "uris" : [ "http://www.mendeley.com/documents/?uuid=02d633de-281e-4050-9e7d-996bcfe2d763" ] }, { "id" : "ITEM-2", "itemData" : { "DOI" : "10.1111/jsm.12571", "ISSN" : "17436095", "author" : [ { "dropping-particle" : "", "family" : "Wierckx", "given" : "Katrien", "non-dropping-particle" : "", "parse-names" : false, "suffix" : "" }, { "dropping-particle" : "", "family" : "Caenegem", "given" : "Eva", "non-dropping-particle" : "Van", "parse-names" : false, "suffix" : "" }, { "dropping-particle" : "", "family" : "Schreiner", "given" : "Thomas", "non-dropping-particle" : "", "parse-names" : false, "suffix" : "" }, { "dropping-particle" : "", "family" : "Haraldsen", "given" : "Ira", "non-dropping-particle" : "", "parse-names" : false, "suffix" : "" }, { "dropping-particle" : "", "family" : "Fisher", "given" : "Alessandra", "non-dropping-particle" : "", "parse-names" : false, "suffix" : "" }, { "dropping-particle" : "", "family" : "Toye", "given" : "Kaatje", "non-dropping-particle" : "", "parse-names" : false, "suffix" : "" }, { "dropping-particle" : "", "family" : "Kaufman", "given" : "Jean Marc", "non-dropping-particle" : "", "parse-names" : false, "suffix" : "" }, { "dropping-particle" : "", "family" : "T'Sjoen", "given" : "Guy", "non-dropping-particle" : "", "parse-names" : false, "suffix" : "" } ], "container-title" : "The Journal of Sexual Medicine", "id" : "ITEM-2", "issued" : { "date-parts" : [ [ "2014" ] ] }, "page" : "1999-2011", "title" : "Cross-Sex Hormone Therapy in Trans Persons Is Safe and Effective at Short-Time Follow-Up: Results from the European Network for the Investigation of Gender Incongruence", "type" : "article-journal", "volume" : "11" }, "uris" : [ "http://www.mendeley.com/documents/?uuid=ed3a7a4a-3e69-4e5a-b892-b9eca8c4e3e8" ] } ], "mendeley" : { "formattedCitation" : "(18,91)", "plainTextFormattedCitation" : "(18,91)", "previouslyFormattedCitation" : "(18,91)" }, "properties" : { "noteIndex" : 0 }, "schema" : "https://github.com/citation-style-language/schema/raw/master/csl-citation.json" }</w:instrText>
      </w:r>
      <w:r w:rsidR="007A3EDC">
        <w:rPr>
          <w:lang w:val="en-GB"/>
        </w:rPr>
        <w:fldChar w:fldCharType="separate"/>
      </w:r>
      <w:r w:rsidR="00C7364E" w:rsidRPr="00C7364E">
        <w:rPr>
          <w:noProof/>
          <w:lang w:val="en-GB"/>
        </w:rPr>
        <w:t>(18,91)</w:t>
      </w:r>
      <w:r w:rsidR="007A3EDC">
        <w:rPr>
          <w:lang w:val="en-GB"/>
        </w:rPr>
        <w:fldChar w:fldCharType="end"/>
      </w:r>
      <w:r w:rsidR="00447DDF">
        <w:rPr>
          <w:lang w:val="en-GB"/>
        </w:rPr>
        <w:t xml:space="preserve">. </w:t>
      </w:r>
      <w:r w:rsidR="00C42029">
        <w:rPr>
          <w:lang w:val="en-GB"/>
        </w:rPr>
        <w:t>H</w:t>
      </w:r>
      <w:r w:rsidR="00447DDF">
        <w:rPr>
          <w:lang w:val="en-GB"/>
        </w:rPr>
        <w:t xml:space="preserve">igh doses </w:t>
      </w:r>
      <w:r w:rsidR="00C42029">
        <w:rPr>
          <w:lang w:val="en-GB"/>
        </w:rPr>
        <w:t>of CA</w:t>
      </w:r>
      <w:r w:rsidR="00C03789">
        <w:rPr>
          <w:lang w:val="en-GB"/>
        </w:rPr>
        <w:t>, as</w:t>
      </w:r>
      <w:r w:rsidR="00C42029">
        <w:rPr>
          <w:lang w:val="en-GB"/>
        </w:rPr>
        <w:t xml:space="preserve"> </w:t>
      </w:r>
      <w:r w:rsidR="00447DDF">
        <w:rPr>
          <w:lang w:val="en-GB"/>
        </w:rPr>
        <w:t xml:space="preserve">used in </w:t>
      </w:r>
      <w:r w:rsidR="00513D18">
        <w:rPr>
          <w:lang w:val="en-GB"/>
        </w:rPr>
        <w:t>androgen deprivation therapy</w:t>
      </w:r>
      <w:r w:rsidR="00447DDF">
        <w:rPr>
          <w:lang w:val="en-GB"/>
        </w:rPr>
        <w:t xml:space="preserve">, have been associated with severe liver dysfunction </w:t>
      </w:r>
      <w:r w:rsidR="007A3EDC">
        <w:rPr>
          <w:lang w:val="en-GB"/>
        </w:rPr>
        <w:fldChar w:fldCharType="begin" w:fldLock="1"/>
      </w:r>
      <w:r w:rsidR="002C52CA">
        <w:rPr>
          <w:lang w:val="en-GB"/>
        </w:rPr>
        <w:instrText>ADDIN CSL_CITATION { "citationItems" : [ { "id" : "ITEM-1", "itemData" : { "DOI" : "10.1111/liv.12899", "ISSN" : "14783223", "author" : [ { "dropping-particle" : "", "family" : "Bessone", "given" : "Fernando", "non-dropping-particle" : "", "parse-names" : false, "suffix" : "" }, { "dropping-particle" : "", "family" : "Lucena", "given" : "M Isabel", "non-dropping-particle" : "", "parse-names" : false, "suffix" : "" }, { "dropping-particle" : "", "family" : "Roma", "given" : "Marcelo G.", "non-dropping-particle" : "", "parse-names" : false, "suffix" : "" }, { "dropping-particle" : "", "family" : "Stephens", "given" : "Camilla", "non-dropping-particle" : "", "parse-names" : false, "suffix" : "" }, { "dropping-particle" : "", "family" : "Medina-C\u00e1liz", "given" : "Inmaculada", "non-dropping-particle" : "", "parse-names" : false, "suffix" : "" }, { "dropping-particle" : "", "family" : "Frider", "given" : "Bernardo", "non-dropping-particle" : "", "parse-names" : false, "suffix" : "" }, { "dropping-particle" : "", "family" : "Tsariktsian", "given" : "Guillermo", "non-dropping-particle" : "", "parse-names" : false, "suffix" : "" }, { "dropping-particle" : "", "family" : "Hern\u00e1ndez", "given" : "Nelia", "non-dropping-particle" : "", "parse-names" : false, "suffix" : "" }, { "dropping-particle" : "", "family" : "Bruguera", "given" : "Miquel", "non-dropping-particle" : "", "parse-names" : false, "suffix" : "" }, { "dropping-particle" : "", "family" : "Gualano", "given" : "Gisela", "non-dropping-particle" : "", "parse-names" : false, "suffix" : "" }, { "dropping-particle" : "", "family" : "Fassio", "given" : "Eduardo", "non-dropping-particle" : "", "parse-names" : false, "suffix" : "" }, { "dropping-particle" : "", "family" : "Montero", "given" : "Joaqu\u00edn", "non-dropping-particle" : "", "parse-names" : false, "suffix" : "" }, { "dropping-particle" : "", "family" : "Reggiardo", "given" : "Mar\u00eda Virginia", "non-dropping-particle" : "", "parse-names" : false, "suffix" : "" }, { "dropping-particle" : "", "family" : "Ferretti", "given" : "Sebasti\u00e1n", "non-dropping-particle" : "", "parse-names" : false, "suffix" : "" }, { "dropping-particle" : "", "family" : "Colombato", "given" : "Luis", "non-dropping-particle" : "", "parse-names" : false, "suffix" : "" }, { "dropping-particle" : "", "family" : "Tanno", "given" : "Federico", "non-dropping-particle" : "", "parse-names" : false, "suffix" : "" }, { "dropping-particle" : "", "family" : "Ferrer", "given" : "Jaime", "non-dropping-particle" : "", "parse-names" : false, "suffix" : "" }, { "dropping-particle" : "", "family" : "Zeno", "given" : "Lelio", "non-dropping-particle" : "", "parse-names" : false, "suffix" : "" }, { "dropping-particle" : "", "family" : "Tanno", "given" : "Hugo", "non-dropping-particle" : "", "parse-names" : false, "suffix" : "" }, { "dropping-particle" : "", "family" : "Andrade", "given" : "Ra\u00fal J", "non-dropping-particle" : "", "parse-names" : false, "suffix" : "" } ], "container-title" : "Liver International", "id" : "ITEM-1", "issue" : "April 2015", "issued" : { "date-parts" : [ [ "2015" ] ] }, "page" : "n/a-n/a", "title" : "Cyproterone acetate induces a wide spectrum of acute liver damage including corticosteroid-responsive hepatitis: report of 22 cases", "type" : "article-journal" }, "uris" : [ "http://www.mendeley.com/documents/?uuid=ae101739-da1f-4df9-86fb-c84a3d4e3457" ] } ], "mendeley" : { "formattedCitation" : "(92)", "plainTextFormattedCitation" : "(92)", "previouslyFormattedCitation" : "(92)" }, "properties" : { "noteIndex" : 0 }, "schema" : "https://github.com/citation-style-language/schema/raw/master/csl-citation.json" }</w:instrText>
      </w:r>
      <w:r w:rsidR="007A3EDC">
        <w:rPr>
          <w:lang w:val="en-GB"/>
        </w:rPr>
        <w:fldChar w:fldCharType="separate"/>
      </w:r>
      <w:r w:rsidR="00C7364E" w:rsidRPr="00C7364E">
        <w:rPr>
          <w:noProof/>
          <w:lang w:val="en-GB"/>
        </w:rPr>
        <w:t>(92)</w:t>
      </w:r>
      <w:r w:rsidR="007A3EDC">
        <w:rPr>
          <w:lang w:val="en-GB"/>
        </w:rPr>
        <w:fldChar w:fldCharType="end"/>
      </w:r>
      <w:r w:rsidR="00447DDF">
        <w:rPr>
          <w:lang w:val="en-GB"/>
        </w:rPr>
        <w:t xml:space="preserve">. </w:t>
      </w:r>
      <w:r w:rsidR="00C03789">
        <w:rPr>
          <w:lang w:val="en-GB"/>
        </w:rPr>
        <w:t>Thus</w:t>
      </w:r>
      <w:r w:rsidR="00447DDF">
        <w:rPr>
          <w:lang w:val="en-GB"/>
        </w:rPr>
        <w:t xml:space="preserve">, </w:t>
      </w:r>
      <w:r w:rsidR="00C03789">
        <w:rPr>
          <w:lang w:val="en-GB"/>
        </w:rPr>
        <w:t xml:space="preserve">monitoring of </w:t>
      </w:r>
      <w:r w:rsidR="00447DDF">
        <w:rPr>
          <w:lang w:val="en-GB"/>
        </w:rPr>
        <w:t xml:space="preserve">liver function </w:t>
      </w:r>
      <w:r w:rsidR="00C03789">
        <w:rPr>
          <w:lang w:val="en-GB"/>
        </w:rPr>
        <w:t xml:space="preserve">during treatment is important. </w:t>
      </w:r>
    </w:p>
    <w:p w14:paraId="5FAB5F40" w14:textId="1CACF49C" w:rsidR="002D6124" w:rsidRDefault="00C03789" w:rsidP="00743C3F">
      <w:pPr>
        <w:spacing w:line="360" w:lineRule="auto"/>
        <w:jc w:val="both"/>
        <w:rPr>
          <w:lang w:val="en-GB"/>
        </w:rPr>
      </w:pPr>
      <w:r>
        <w:rPr>
          <w:lang w:val="en-GB"/>
        </w:rPr>
        <w:t xml:space="preserve">No changes were seen in </w:t>
      </w:r>
      <w:r w:rsidR="000E06A9" w:rsidRPr="006910CE">
        <w:rPr>
          <w:i/>
          <w:lang w:val="en-GB"/>
        </w:rPr>
        <w:t>HbA1c and fasting glucose</w:t>
      </w:r>
      <w:r w:rsidR="000E06A9">
        <w:rPr>
          <w:lang w:val="en-GB"/>
        </w:rPr>
        <w:t xml:space="preserve"> levels</w:t>
      </w:r>
      <w:r w:rsidR="002D6124">
        <w:rPr>
          <w:lang w:val="en-GB"/>
        </w:rPr>
        <w:t xml:space="preserve"> during CA and CA+E</w:t>
      </w:r>
      <w:r>
        <w:rPr>
          <w:lang w:val="en-GB"/>
        </w:rPr>
        <w:t xml:space="preserve">. </w:t>
      </w:r>
      <w:r w:rsidR="002D6124" w:rsidRPr="000E06A9">
        <w:rPr>
          <w:lang w:val="en-GB"/>
        </w:rPr>
        <w:t>However</w:t>
      </w:r>
      <w:r w:rsidR="002D6124">
        <w:rPr>
          <w:lang w:val="en-GB"/>
        </w:rPr>
        <w:t>,</w:t>
      </w:r>
      <w:r w:rsidR="002D6124" w:rsidRPr="000E06A9">
        <w:rPr>
          <w:lang w:val="en-GB"/>
        </w:rPr>
        <w:t xml:space="preserve"> </w:t>
      </w:r>
      <w:r w:rsidR="00743C3F">
        <w:rPr>
          <w:lang w:val="en-GB"/>
        </w:rPr>
        <w:t>in adults, this treatment</w:t>
      </w:r>
      <w:r w:rsidR="002D6124" w:rsidRPr="000E06A9">
        <w:rPr>
          <w:lang w:val="en-GB"/>
        </w:rPr>
        <w:t xml:space="preserve"> has been shown to increase fasting insulin and </w:t>
      </w:r>
      <w:r w:rsidR="002D6124">
        <w:rPr>
          <w:lang w:val="en-GB"/>
        </w:rPr>
        <w:t xml:space="preserve">to </w:t>
      </w:r>
      <w:r w:rsidR="006910CE">
        <w:rPr>
          <w:lang w:val="en-GB"/>
        </w:rPr>
        <w:t>reduce insulin sensitivity</w:t>
      </w:r>
      <w:r w:rsidR="002D6124" w:rsidRPr="000E06A9">
        <w:rPr>
          <w:lang w:val="en-GB"/>
        </w:rPr>
        <w:t xml:space="preserve"> </w:t>
      </w:r>
      <w:r w:rsidR="002D6124" w:rsidRPr="000E06A9">
        <w:rPr>
          <w:lang w:val="en-GB"/>
        </w:rPr>
        <w:fldChar w:fldCharType="begin" w:fldLock="1"/>
      </w:r>
      <w:r w:rsidR="002C52CA">
        <w:rPr>
          <w:lang w:val="en-GB"/>
        </w:rPr>
        <w:instrText>ADDIN CSL_CITATION { "citationItems" : [ { "id" : "ITEM-1", "itemData" : { "DOI" : "10.1046/j.1365-2265.2003.01753.x", "ISBN" : "0300-0664", "ISSN" : "0300-0664", "PMID" : "12699437", "abstract" : "OBJECTIVE: Sex differences are found in most components of the insulin resistance syndrome and the associated cardiovascular risk profile. These differences are attributed to sex-specific sex steroid profiles, but the effects of sex steroids on the individual components of the insulin resistance syndrome remain incompletely understood. DESIGN: Prospective, intervention study. SUBJECTS: In 37 young (age range 16-36 years), nonobese [body mass index (BMI) &lt; 29], transsexual subjects, effects of ethinyl oestradiol (100 micro g/day) + cyproterone acetate (100 mg/day) administration were evaluated in 20 male-to-female transsexuals and of testosterone-ester administration [250 mg intramuscularly (i.m.)/2 weeks] in 17 female-to-male transsexuals. MEASUREMENTS: We studied lipid spectrum, postheparin hepatic lipase (HL) and lipoprotein lipase (LPL) activity, blood pressure, glucose utilization (by euglycaemic hyperinsulinaemic clamp), and fat areas (by magnetic resonance imaging) at baseline and during 1-year cross-sex hormone administration. RESULTS: Oestrogens + antiandrogens increased high-density lipoprotein (HDL)-cholesterol and decreased LDL-cholesterol, and HL activity, which are considered beneficial. But this combination also increased triglycerides, blood pressure, subcutaneous fat and visceral fat, and decreased the LDL-particle size, LPL activity and insulin sensitivity, which are all considered detrimental. Testosterone reduced HDL-cholesterol and the LDL-particle size, and increased triglycerides and HL activity. An android fat distribution was induced (i.e. decreased subcutaneous and increased visceral fat). Blood pressure, total and LDL-cholesterol, LPL activity and insulin sensitivity were mainly unaffected. CONCLUSIONS: The effects of cross-sex hormone treatment - in the dosages used in this study - in healthy, nonobese, young transsexual subjects do not show unequivocally that female sex steroids, given in large amounts to male subjects, have beneficial effects on cardiovascular profile and that high dose testosterone administration to female subjects is detrimental with respect to cardiovascular risk", "author" : [ { "dropping-particle" : "", "family" : "Elbers", "given" : "Jolanda M H", "non-dropping-particle" : "", "parse-names" : false, "suffix" : "" }, { "dropping-particle" : "", "family" : "Giltay", "given" : "Erik J", "non-dropping-particle" : "", "parse-names" : false, "suffix" : "" }, { "dropping-particle" : "", "family" : "Teerlink", "given" : "Tom", "non-dropping-particle" : "", "parse-names" : false, "suffix" : "" }, { "dropping-particle" : "", "family" : "Scheffer", "given" : "Peter G", "non-dropping-particle" : "", "parse-names" : false, "suffix" : "" }, { "dropping-particle" : "", "family" : "Asscheman", "given" : "Henk", "non-dropping-particle" : "", "parse-names" : false, "suffix" : "" }, { "dropping-particle" : "", "family" : "Seidell", "given" : "Jacob C", "non-dropping-particle" : "", "parse-names" : false, "suffix" : "" }, { "dropping-particle" : "", "family" : "Gooren", "given" : "Louis J G", "non-dropping-particle" : "", "parse-names" : false, "suffix" : "" } ], "container-title" : "Clinical Endocrinology", "id" : "ITEM-1", "issue" : "5", "issued" : { "date-parts" : [ [ "2003" ] ] }, "page" : "562-571", "title" : "Effects of sex steroids on components of the insulin resistance syndrome in transsexual subjects", "type" : "article-journal", "volume" : "58" }, "uris" : [ "http://www.mendeley.com/documents/?uuid=c383ef3d-802f-466d-b27a-4a309b993818" ] } ], "mendeley" : { "formattedCitation" : "(93)", "plainTextFormattedCitation" : "(93)", "previouslyFormattedCitation" : "(93)" }, "properties" : { "noteIndex" : 0 }, "schema" : "https://github.com/citation-style-language/schema/raw/master/csl-citation.json" }</w:instrText>
      </w:r>
      <w:r w:rsidR="002D6124" w:rsidRPr="000E06A9">
        <w:rPr>
          <w:lang w:val="en-GB"/>
        </w:rPr>
        <w:fldChar w:fldCharType="separate"/>
      </w:r>
      <w:r w:rsidR="00C7364E" w:rsidRPr="00C7364E">
        <w:rPr>
          <w:noProof/>
          <w:lang w:val="en-GB"/>
        </w:rPr>
        <w:t>(93)</w:t>
      </w:r>
      <w:r w:rsidR="002D6124" w:rsidRPr="000E06A9">
        <w:rPr>
          <w:lang w:val="en-GB"/>
        </w:rPr>
        <w:fldChar w:fldCharType="end"/>
      </w:r>
      <w:r w:rsidR="002D6124" w:rsidRPr="000E06A9">
        <w:rPr>
          <w:lang w:val="en-GB"/>
        </w:rPr>
        <w:t>.</w:t>
      </w:r>
      <w:r w:rsidR="002D6124">
        <w:rPr>
          <w:lang w:val="en-GB"/>
        </w:rPr>
        <w:t xml:space="preserve"> </w:t>
      </w:r>
      <w:r w:rsidR="006910CE">
        <w:rPr>
          <w:lang w:val="en-GB"/>
        </w:rPr>
        <w:t>Unfortunately</w:t>
      </w:r>
      <w:r w:rsidR="002D6124">
        <w:rPr>
          <w:lang w:val="en-GB"/>
        </w:rPr>
        <w:t xml:space="preserve">, </w:t>
      </w:r>
      <w:r w:rsidR="00B138F2">
        <w:rPr>
          <w:lang w:val="en-GB"/>
        </w:rPr>
        <w:t xml:space="preserve">fasting </w:t>
      </w:r>
      <w:r w:rsidR="00447DDF" w:rsidRPr="000E06A9">
        <w:rPr>
          <w:lang w:val="en-GB"/>
        </w:rPr>
        <w:t xml:space="preserve">insulin levels </w:t>
      </w:r>
      <w:r w:rsidR="002D6124">
        <w:rPr>
          <w:lang w:val="en-GB"/>
        </w:rPr>
        <w:t xml:space="preserve">were often missing in our retrospective study, making it impossible </w:t>
      </w:r>
      <w:r w:rsidR="00447DDF" w:rsidRPr="000E06A9">
        <w:rPr>
          <w:lang w:val="en-GB"/>
        </w:rPr>
        <w:t xml:space="preserve">to draw solid conclusions. </w:t>
      </w:r>
    </w:p>
    <w:p w14:paraId="7A1F5B73" w14:textId="0B003FA0" w:rsidR="00447DDF" w:rsidRPr="00145115" w:rsidRDefault="002D6124" w:rsidP="00396886">
      <w:pPr>
        <w:spacing w:line="360" w:lineRule="auto"/>
        <w:jc w:val="both"/>
        <w:rPr>
          <w:lang w:val="en-GB"/>
        </w:rPr>
      </w:pPr>
      <w:r>
        <w:rPr>
          <w:lang w:val="en-GB"/>
        </w:rPr>
        <w:t xml:space="preserve">Interestingly, no persistent changes in </w:t>
      </w:r>
      <w:r w:rsidRPr="00B318A5">
        <w:rPr>
          <w:i/>
          <w:lang w:val="en-GB"/>
        </w:rPr>
        <w:t>cholesterol and triglyceride</w:t>
      </w:r>
      <w:r w:rsidR="00B318A5">
        <w:rPr>
          <w:lang w:val="en-GB"/>
        </w:rPr>
        <w:t xml:space="preserve"> levels were seen</w:t>
      </w:r>
      <w:r>
        <w:rPr>
          <w:lang w:val="en-GB"/>
        </w:rPr>
        <w:t xml:space="preserve">. </w:t>
      </w:r>
      <w:r w:rsidR="00447DDF">
        <w:rPr>
          <w:lang w:val="en-GB"/>
        </w:rPr>
        <w:t>Other studies on</w:t>
      </w:r>
      <w:r w:rsidR="00B138F2">
        <w:rPr>
          <w:lang w:val="en-GB"/>
        </w:rPr>
        <w:t xml:space="preserve"> the use of</w:t>
      </w:r>
      <w:r w:rsidR="00447DDF">
        <w:rPr>
          <w:lang w:val="en-GB"/>
        </w:rPr>
        <w:t xml:space="preserve"> CA </w:t>
      </w:r>
      <w:r w:rsidR="006D51AE">
        <w:rPr>
          <w:lang w:val="en-GB"/>
        </w:rPr>
        <w:t>in combination with</w:t>
      </w:r>
      <w:r w:rsidR="00447DDF">
        <w:rPr>
          <w:lang w:val="en-GB"/>
        </w:rPr>
        <w:t xml:space="preserve"> EE</w:t>
      </w:r>
      <w:r w:rsidR="00F250BA">
        <w:rPr>
          <w:lang w:val="en-GB"/>
        </w:rPr>
        <w:t xml:space="preserve"> </w:t>
      </w:r>
      <w:r w:rsidR="00B138F2">
        <w:rPr>
          <w:lang w:val="en-GB"/>
        </w:rPr>
        <w:t>i</w:t>
      </w:r>
      <w:r w:rsidR="00F250BA">
        <w:rPr>
          <w:lang w:val="en-GB"/>
        </w:rPr>
        <w:t>n adult MtF trans</w:t>
      </w:r>
      <w:r w:rsidR="001A6EAE">
        <w:rPr>
          <w:lang w:val="en-GB"/>
        </w:rPr>
        <w:t>gender</w:t>
      </w:r>
      <w:r w:rsidR="00F250BA">
        <w:rPr>
          <w:lang w:val="en-GB"/>
        </w:rPr>
        <w:t xml:space="preserve"> individuals and women with and without PCOS</w:t>
      </w:r>
      <w:r w:rsidR="00447DDF">
        <w:rPr>
          <w:lang w:val="en-GB"/>
        </w:rPr>
        <w:t xml:space="preserve">, have </w:t>
      </w:r>
      <w:r w:rsidR="006D51AE">
        <w:rPr>
          <w:lang w:val="en-GB"/>
        </w:rPr>
        <w:t>revealed</w:t>
      </w:r>
      <w:r w:rsidR="00447DDF">
        <w:rPr>
          <w:lang w:val="en-GB"/>
        </w:rPr>
        <w:t xml:space="preserve"> increases in total cholesterol and HDL</w:t>
      </w:r>
      <w:r w:rsidR="00E36E7D">
        <w:rPr>
          <w:lang w:val="en-GB"/>
        </w:rPr>
        <w:t xml:space="preserve"> </w:t>
      </w:r>
      <w:r w:rsidR="00447DDF">
        <w:rPr>
          <w:lang w:val="en-GB"/>
        </w:rPr>
        <w:t>levels and decreases in LDL</w:t>
      </w:r>
      <w:r>
        <w:rPr>
          <w:lang w:val="en-GB"/>
        </w:rPr>
        <w:t xml:space="preserve">, resulting in a more favourable lipid profile </w:t>
      </w:r>
      <w:r w:rsidR="007A3EDC">
        <w:rPr>
          <w:lang w:val="en-GB"/>
        </w:rPr>
        <w:fldChar w:fldCharType="begin" w:fldLock="1"/>
      </w:r>
      <w:r w:rsidR="002C52CA">
        <w:rPr>
          <w:lang w:val="en-GB"/>
        </w:rPr>
        <w:instrText>ADDIN CSL_CITATION { "citationItems" : [ { "id" : "ITEM-1", "itemData" : { "DOI" : "10.1046/j.1365-2265.2003.01753.x", "ISBN" : "0300-0664", "ISSN" : "0300-0664", "PMID" : "12699437", "abstract" : "OBJECTIVE: Sex differences are found in most components of the insulin resistance syndrome and the associated cardiovascular risk profile. These differences are attributed to sex-specific sex steroid profiles, but the effects of sex steroids on the individual components of the insulin resistance syndrome remain incompletely understood. DESIGN: Prospective, intervention study. SUBJECTS: In 37 young (age range 16-36 years), nonobese [body mass index (BMI) &lt; 29], transsexual subjects, effects of ethinyl oestradiol (100 micro g/day) + cyproterone acetate (100 mg/day) administration were evaluated in 20 male-to-female transsexuals and of testosterone-ester administration [250 mg intramuscularly (i.m.)/2 weeks] in 17 female-to-male transsexuals. MEASUREMENTS: We studied lipid spectrum, postheparin hepatic lipase (HL) and lipoprotein lipase (LPL) activity, blood pressure, glucose utilization (by euglycaemic hyperinsulinaemic clamp), and fat areas (by magnetic resonance imaging) at baseline and during 1-year cross-sex hormone administration. RESULTS: Oestrogens + antiandrogens increased high-density lipoprotein (HDL)-cholesterol and decreased LDL-cholesterol, and HL activity, which are considered beneficial. But this combination also increased triglycerides, blood pressure, subcutaneous fat and visceral fat, and decreased the LDL-particle size, LPL activity and insulin sensitivity, which are all considered detrimental. Testosterone reduced HDL-cholesterol and the LDL-particle size, and increased triglycerides and HL activity. An android fat distribution was induced (i.e. decreased subcutaneous and increased visceral fat). Blood pressure, total and LDL-cholesterol, LPL activity and insulin sensitivity were mainly unaffected. CONCLUSIONS: The effects of cross-sex hormone treatment - in the dosages used in this study - in healthy, nonobese, young transsexual subjects do not show unequivocally that female sex steroids, given in large amounts to male subjects, have beneficial effects on cardiovascular profile and that high dose testosterone administration to female subjects is detrimental with respect to cardiovascular risk", "author" : [ { "dropping-particle" : "", "family" : "Elbers", "given" : "Jolanda M H", "non-dropping-particle" : "", "parse-names" : false, "suffix" : "" }, { "dropping-particle" : "", "family" : "Giltay", "given" : "Erik J", "non-dropping-particle" : "", "parse-names" : false, "suffix" : "" }, { "dropping-particle" : "", "family" : "Teerlink", "given" : "Tom", "non-dropping-particle" : "", "parse-names" : false, "suffix" : "" }, { "dropping-particle" : "", "family" : "Scheffer", "given" : "Peter G", "non-dropping-particle" : "", "parse-names" : false, "suffix" : "" }, { "dropping-particle" : "", "family" : "Asscheman", "given" : "Henk", "non-dropping-particle" : "", "parse-names" : false, "suffix" : "" }, { "dropping-particle" : "", "family" : "Seidell", "given" : "Jacob C", "non-dropping-particle" : "", "parse-names" : false, "suffix" : "" }, { "dropping-particle" : "", "family" : "Gooren", "given" : "Louis J G", "non-dropping-particle" : "", "parse-names" : false, "suffix" : "" } ], "container-title" : "Clinical Endocrinology", "id" : "ITEM-1", "issue" : "5", "issued" : { "date-parts" : [ [ "2003" ] ] }, "page" : "562-571", "title" : "Effects of sex steroids on components of the insulin resistance syndrome in transsexual subjects", "type" : "article-journal", "volume" : "58" }, "uris" : [ "http://www.mendeley.com/documents/?uuid=c383ef3d-802f-466d-b27a-4a309b993818" ] }, { "id" : "ITEM-2", "itemData" : { "abstract" : "Background. The effects of an oral contraceptive pill containing cyproterone acetate on lipid metabolism in women with polycystic ovary syndrome (PCOS) was studied.Materials and methods. Seventy-two women with PCOS were treated for 36 consecutive cycles with an oral contraceptive containing 0.035 mg of ethinylestradiol and 2 mg of cyproterone acetate. Hormonal. lipid and glucose profiles were studied before and after 12 and 36 cycles of treatment. Lipid, lipo-and apolipoprotein values were compared to a healthy control group. Statistical analysis was by one way analysis of variance and Bonferroni's t tests.Results. The treatment suppressed gonadotropin and androgen values and increased the levels of sex hormone binding globulin. After 12 and 36 cycles a significant increase in triglycerides, high density lipoprotein (HDL) cholesterol system, and apoprotein B levels was seen. Low density lipoprotein (LDL) cholesterol and LDL cholesterol/HDL cholesterol ratio were reduced. Insulin and glucose plasma concent...", "author" : [ { "dropping-particle" : "", "family" : "Falsetti", "given" : "Leopoldo", "non-dropping-particle" : "", "parse-names" : false, "suffix" : "" }, { "dropping-particle" : "", "family" : "Pasinetti", "given" : "Edda", "non-dropping-particle" : "", "parse-names" : false, "suffix" : "" } ], "container-title" : "Acta Obstetricia et Gynecologica Scandinavica", "id" : "ITEM-2", "issued" : { "date-parts" : [ [ "2009", "8", "3" ] ] }, "language" : "en", "note" : "lipiden", "publisher" : "Taylor &amp; Francis", "title" : "Effects of long-term administration of an oral contraceptive containing ethinylestradiol and cyproterone acetate on lipid metabolism in women with polycystic ovary syndrome", "type" : "article-journal" }, "uris" : [ "http://www.mendeley.com/documents/?uuid=c2acfe98-b048-4fb1-9a9e-1724ffd9b9f6" ] }, { "id" : "ITEM-3", "itemData" : { "DOI" : "10.1111/j.1365-2265.1986.tb00761.x", "ISSN" : "0300-0664", "author" : [ { "dropping-particle" : "", "family" : "Wynn", "given" : "V.", "non-dropping-particle" : "", "parse-names" : false, "suffix" : "" }, { "dropping-particle" : "", "family" : "Godsland", "given" : "I. F.", "non-dropping-particle" : "", "parse-names" : false, "suffix" : "" }, { "dropping-particle" : "", "family" : "Seed", "given" : "M.", "non-dropping-particle" : "", "parse-names" : false, "suffix" : "" }, { "dropping-particle" : "", "family" : "Jacobs", "given" : "H. S.", "non-dropping-particle" : "", "parse-names" : false, "suffix" : "" } ], "container-title" : "Clinical Endocrinology", "id" : "ITEM-3", "issue" : "2", "issued" : { "date-parts" : [ [ "1986", "2" ] ] }, "note" : "lipiden", "page" : "183-191", "title" : "Paradoxical effects of the anti-androgen cyproterone acetate on lipid and lipoprotein metabolism", "type" : "article-journal", "volume" : "24" }, "uris" : [ "http://www.mendeley.com/documents/?uuid=14d5450a-33e9-498a-88a8-2cfdfaaf16f3" ] } ], "mendeley" : { "formattedCitation" : "(93\u201395)", "plainTextFormattedCitation" : "(93\u201395)", "previouslyFormattedCitation" : "(93\u201395)" }, "properties" : { "noteIndex" : 0 }, "schema" : "https://github.com/citation-style-language/schema/raw/master/csl-citation.json" }</w:instrText>
      </w:r>
      <w:r w:rsidR="007A3EDC">
        <w:rPr>
          <w:lang w:val="en-GB"/>
        </w:rPr>
        <w:fldChar w:fldCharType="separate"/>
      </w:r>
      <w:r w:rsidR="00C7364E" w:rsidRPr="00C7364E">
        <w:rPr>
          <w:noProof/>
          <w:lang w:val="en-GB"/>
        </w:rPr>
        <w:t>(93–95)</w:t>
      </w:r>
      <w:r w:rsidR="007A3EDC">
        <w:rPr>
          <w:lang w:val="en-GB"/>
        </w:rPr>
        <w:fldChar w:fldCharType="end"/>
      </w:r>
      <w:r w:rsidR="00447DDF">
        <w:rPr>
          <w:lang w:val="en-GB"/>
        </w:rPr>
        <w:t xml:space="preserve">. </w:t>
      </w:r>
      <w:r w:rsidR="00C4419A">
        <w:rPr>
          <w:lang w:val="en-GB"/>
        </w:rPr>
        <w:t>However,</w:t>
      </w:r>
      <w:r w:rsidR="006D5ACA">
        <w:rPr>
          <w:lang w:val="en-GB"/>
        </w:rPr>
        <w:t xml:space="preserve"> </w:t>
      </w:r>
      <w:r w:rsidR="00AD2275">
        <w:rPr>
          <w:lang w:val="en-GB"/>
        </w:rPr>
        <w:t xml:space="preserve">a </w:t>
      </w:r>
      <w:r w:rsidR="006D5ACA">
        <w:rPr>
          <w:lang w:val="en-GB"/>
        </w:rPr>
        <w:t>decrease</w:t>
      </w:r>
      <w:r w:rsidR="00AD2275">
        <w:rPr>
          <w:lang w:val="en-GB"/>
        </w:rPr>
        <w:t>d</w:t>
      </w:r>
      <w:r w:rsidR="006D5ACA">
        <w:rPr>
          <w:lang w:val="en-GB"/>
        </w:rPr>
        <w:t xml:space="preserve"> lipid metabolism (including HDL) ha</w:t>
      </w:r>
      <w:r w:rsidR="00AD2275">
        <w:rPr>
          <w:lang w:val="en-GB"/>
        </w:rPr>
        <w:t>s</w:t>
      </w:r>
      <w:r w:rsidR="006D5ACA">
        <w:rPr>
          <w:lang w:val="en-GB"/>
        </w:rPr>
        <w:t xml:space="preserve"> been reported by Wierckx et al.</w:t>
      </w:r>
      <w:r w:rsidR="00AD2275">
        <w:rPr>
          <w:lang w:val="en-GB"/>
        </w:rPr>
        <w:t xml:space="preserve"> </w:t>
      </w:r>
      <w:r w:rsidR="006D5ACA">
        <w:rPr>
          <w:lang w:val="en-GB"/>
        </w:rPr>
        <w:fldChar w:fldCharType="begin" w:fldLock="1"/>
      </w:r>
      <w:r w:rsidR="002C52CA">
        <w:rPr>
          <w:lang w:val="en-GB"/>
        </w:rPr>
        <w:instrText>ADDIN CSL_CITATION { "citationItems" : [ { "id" : "ITEM-1", "itemData" : { "DOI" : "10.1111/jsm.12365", "ISBN" : "1743-6109 (Electronic)\\r1743-6095 (Linking)", "ISSN" : "1743-6109", "PMID" : "24165564", "abstract" : "INTRODUCTION: Sex steroids and genital surgery are known to affect sexual desire, but little research has focused on the effects of cross-sex hormone therapy and sex reassignment surgery on sexual desire in trans persons.\\n\\nAIM: This study aims to explore associations between sex reassignment therapy (SRT) and sexual desire in a large cohort of trans persons.\\n\\nMETHODS: A cross-sectional single specialized center study including 214 trans women (male-to-female trans persons) and 138 trans men (female-to-male trans persons).\\n\\nMAIN OUTCOME MEASURES: Questionnaires assessing demographics, medical history, frequency of sexual desire, hypoactive sexual desire disorder (HSDD), and treatment satisfaction.\\n\\nRESULTS: In retrospect, 62.4% of trans women reported a decrease in sexual desire after SRT. Seventy-three percent of trans women never or rarely experienced spontaneous and responsive sexual desire. A third reported associated personal or relational distress resulting in a prevalence of HSDD of 22%. Respondents who had undergone vaginoplasty experienced more spontaneous sexual desire compared with those who planned this surgery but had not yet undergone it (P\u2009=\u20090.03). In retrospect, the majority of trans men (71.0%) reported an increase in sexual desire after SRT. Thirty percent of trans men never or rarely felt sexual desire; 39.7% from time to time, and 30.6% often or always. Five percent of trans men met the criteria for HSDD. Trans men who were less satisfied with the phalloplasty had a higher prevalence of HSDD (P\u2009=\u20090.02). Trans persons who were more satisfied with the hormonal therapy had a lower prevalence of HSDD (P\u2009=\u20090.02).\\n\\nCONCLUSION: HSDD was more prevalent in trans women compared with trans men. The majority of trans women reported a decrease in sexual desire after SRT, whereas the opposite was observed in trans men. Our results show a significant sexual impact of surgical interventions and both hormonal and surgical treatment satisfaction on the sexual desire in trans persons. Wierckx K, Elaut E, Van Hoorde B, Heylens G, De Cuypere G, Monstrey S, Weyers S, Hoebeke P, and T'Sjoen G. Sexual desire in trans persons: Associations with sex reassignment treatment. J Sex Med 2014;11:107-118.", "author" : [ { "dropping-particle" : "", "family" : "Wierckx", "given" : "Katrien", "non-dropping-particle" : "", "parse-names" : false, "suffix" : "" }, { "dropping-particle" : "", "family" : "Elaut", "given" : "Els", "non-dropping-particle" : "", "parse-names" : false, "suffix" : "" }, { "dropping-particle" : "", "family" : "Hoorde", "given" : "Birgit", "non-dropping-particle" : "Van", "parse-names" : false, "suffix" : "" }, { "dropping-particle" : "", "family" : "Heylens", "given" : "Gunter", "non-dropping-particle" : "", "parse-names" : false, "suffix" : "" }, { "dropping-particle" : "", "family" : "Cuypere", "given" : "Griet", "non-dropping-particle" : "De", "parse-names" : false, "suffix" : "" }, { "dropping-particle" : "", "family" : "Monstrey", "given" : "Stan", "non-dropping-particle" : "", "parse-names" : false, "suffix" : "" }, { "dropping-particle" : "", "family" : "Weyers", "given" : "Steven", "non-dropping-particle" : "", "parse-names" : false, "suffix" : "" }, { "dropping-particle" : "", "family" : "Hoebeke", "given" : "Piet", "non-dropping-particle" : "", "parse-names" : false, "suffix" : "" }, { "dropping-particle" : "", "family" : "T'sjoen", "given" : "Guy", "non-dropping-particle" : "", "parse-names" : false, "suffix" : "" } ], "container-title" : "The journal of sexual medicine", "id" : "ITEM-1", "issue" : "1", "issued" : { "date-parts" : [ [ "2014" ] ] }, "page" : "107-18", "title" : "Sexual desire in trans persons: associations with sex reassignment treatment.", "type" : "article-journal", "volume" : "11" }, "uris" : [ "http://www.mendeley.com/documents/?uuid=b0dc1738-f8f4-42e7-a85d-fb1ea8c1a97f" ] } ], "mendeley" : { "formattedCitation" : "(96)", "plainTextFormattedCitation" : "(96)", "previouslyFormattedCitation" : "(96)" }, "properties" : { "noteIndex" : 0 }, "schema" : "https://github.com/citation-style-language/schema/raw/master/csl-citation.json" }</w:instrText>
      </w:r>
      <w:r w:rsidR="006D5ACA">
        <w:rPr>
          <w:lang w:val="en-GB"/>
        </w:rPr>
        <w:fldChar w:fldCharType="separate"/>
      </w:r>
      <w:r w:rsidR="00C7364E" w:rsidRPr="00C7364E">
        <w:rPr>
          <w:noProof/>
          <w:lang w:val="en-GB"/>
        </w:rPr>
        <w:t>(96)</w:t>
      </w:r>
      <w:r w:rsidR="006D5ACA">
        <w:rPr>
          <w:lang w:val="en-GB"/>
        </w:rPr>
        <w:fldChar w:fldCharType="end"/>
      </w:r>
      <w:r w:rsidR="006D5ACA">
        <w:rPr>
          <w:lang w:val="en-GB"/>
        </w:rPr>
        <w:t xml:space="preserve"> in adult MtF trans</w:t>
      </w:r>
      <w:r w:rsidR="001A6EAE">
        <w:rPr>
          <w:lang w:val="en-GB"/>
        </w:rPr>
        <w:t>gender</w:t>
      </w:r>
      <w:r w:rsidR="006D5ACA">
        <w:rPr>
          <w:lang w:val="en-GB"/>
        </w:rPr>
        <w:t xml:space="preserve"> adults</w:t>
      </w:r>
      <w:r w:rsidR="00515BBA">
        <w:rPr>
          <w:lang w:val="en-GB"/>
        </w:rPr>
        <w:t>. T</w:t>
      </w:r>
      <w:r w:rsidR="007D4E14">
        <w:rPr>
          <w:lang w:val="en-GB"/>
        </w:rPr>
        <w:t xml:space="preserve">he absence of significant </w:t>
      </w:r>
      <w:r w:rsidR="00F250BA">
        <w:rPr>
          <w:lang w:val="en-GB"/>
        </w:rPr>
        <w:t xml:space="preserve">alterations in lipid profiles </w:t>
      </w:r>
      <w:r w:rsidR="00B138F2">
        <w:rPr>
          <w:lang w:val="en-GB"/>
        </w:rPr>
        <w:t>in</w:t>
      </w:r>
      <w:r w:rsidR="00F250BA">
        <w:rPr>
          <w:lang w:val="en-GB"/>
        </w:rPr>
        <w:t xml:space="preserve"> our </w:t>
      </w:r>
      <w:r w:rsidR="00B138F2">
        <w:rPr>
          <w:lang w:val="en-GB"/>
        </w:rPr>
        <w:t xml:space="preserve">study </w:t>
      </w:r>
      <w:r w:rsidR="007D4E14">
        <w:rPr>
          <w:lang w:val="en-GB"/>
        </w:rPr>
        <w:t>c</w:t>
      </w:r>
      <w:r w:rsidR="00AD2275">
        <w:rPr>
          <w:lang w:val="en-GB"/>
        </w:rPr>
        <w:t>an</w:t>
      </w:r>
      <w:r w:rsidR="007D4E14">
        <w:rPr>
          <w:lang w:val="en-GB"/>
        </w:rPr>
        <w:t xml:space="preserve"> be </w:t>
      </w:r>
      <w:r w:rsidR="00F250BA">
        <w:rPr>
          <w:lang w:val="en-GB"/>
        </w:rPr>
        <w:t>the result of the</w:t>
      </w:r>
      <w:r w:rsidR="007D4E14">
        <w:rPr>
          <w:lang w:val="en-GB"/>
        </w:rPr>
        <w:t xml:space="preserve"> young age</w:t>
      </w:r>
      <w:r w:rsidR="00B138F2">
        <w:rPr>
          <w:lang w:val="en-GB"/>
        </w:rPr>
        <w:t xml:space="preserve"> of participants</w:t>
      </w:r>
      <w:r w:rsidR="007D4E14">
        <w:rPr>
          <w:lang w:val="en-GB"/>
        </w:rPr>
        <w:t>, since hyp</w:t>
      </w:r>
      <w:r w:rsidR="00B138F2">
        <w:rPr>
          <w:lang w:val="en-GB"/>
        </w:rPr>
        <w:t>er</w:t>
      </w:r>
      <w:r w:rsidR="007D4E14">
        <w:rPr>
          <w:lang w:val="en-GB"/>
        </w:rPr>
        <w:t>cholesterolaemia generally develops during</w:t>
      </w:r>
      <w:r w:rsidR="00F250BA">
        <w:rPr>
          <w:lang w:val="en-GB"/>
        </w:rPr>
        <w:t xml:space="preserve"> and after</w:t>
      </w:r>
      <w:r w:rsidR="007D4E14">
        <w:rPr>
          <w:lang w:val="en-GB"/>
        </w:rPr>
        <w:t xml:space="preserve"> early adulthood</w:t>
      </w:r>
      <w:r w:rsidR="00515BBA">
        <w:rPr>
          <w:lang w:val="en-GB"/>
        </w:rPr>
        <w:t xml:space="preserve"> </w:t>
      </w:r>
      <w:r w:rsidR="00515BBA">
        <w:rPr>
          <w:lang w:val="en-GB"/>
        </w:rPr>
        <w:fldChar w:fldCharType="begin" w:fldLock="1"/>
      </w:r>
      <w:r w:rsidR="002C52CA">
        <w:rPr>
          <w:lang w:val="en-GB"/>
        </w:rPr>
        <w:instrText>ADDIN CSL_CITATION { "citationItems" : [ { "id" : "ITEM-1", "itemData" : { "DOI" : "10.1038/sj.ijo.0802714", "ISSN" : "0307-0565", "PMID" : "15211364", "abstract" : "OBJECTIVE: To explore the relationship between hypercholesterolaemia, age and BMI among females and males.\\n\\nDESIGN: Population-based cross-sectional survey.\\n\\nSUBJECTS: The data came from the initial surveys of the WHO MONICA Project. In all, 27 populations with 48 283 subjects (24 017 males and 24 266 females) aged 25-64 y were used for the analysis.\\n\\nMEASUREMENTS: Total cholesterol, weight, height, BMI, prevalence of hypercholesterolaemia (PHC) defined as cholesterol &gt;/=6.5 mmol/l, and the prevalence of obesity (POB) defined as BMI &gt;/=30 kg/m(2).\\n\\nRESULTS: PHC increased with age, with PHC in males being significantly higher than in females at age range 25-49 y and significantly lower than in females at age range 50-64 y. Age-related increase in hypercholesterolaemia was steeper in females than in males. There was a statistically significant positive association between hypercholesterolaemia and BMI. Multiple logistic regression analysis revealed a negative statistically significant (P&lt;0.001) effect modification involving age and BMI on the risk of having hypercholesterolaemia both in females and males. The relation between PHC and BMI became weaker in higher age groups, with no statistically significant association in females aged 50-64 y.\\n\\nCONCLUSION: Public health measures should be directed at the prevention of obesity in young adults since the strongest effect of obesity on the risk of hypercholesterolaemia has been found in subjects aged 25-39 y.", "author" : [ { "dropping-particle" : "", "family" : "Gostynski", "given" : "M", "non-dropping-particle" : "", "parse-names" : false, "suffix" : "" }, { "dropping-particle" : "", "family" : "Gutzwiller", "given" : "F", "non-dropping-particle" : "", "parse-names" : false, "suffix" : "" }, { "dropping-particle" : "", "family" : "Kuulasmaa", "given" : "K", "non-dropping-particle" : "", "parse-names" : false, "suffix" : "" }, { "dropping-particle" : "", "family" : "D\u00f6ring", "given" : "A", "non-dropping-particle" : "", "parse-names" : false, "suffix" : "" }, { "dropping-particle" : "", "family" : "Ferrario", "given" : "M", "non-dropping-particle" : "", "parse-names" : false, "suffix" : "" }, { "dropping-particle" : "", "family" : "Grafnetter", "given" : "D", "non-dropping-particle" : "", "parse-names" : false, "suffix" : "" }, { "dropping-particle" : "", "family" : "Pajak", "given" : "A", "non-dropping-particle" : "", "parse-names" : false, "suffix" : "" } ], "container-title" : "International journal of obesity and related metabolic disorders : journal of the International Association for the Study of Obesity", "id" : "ITEM-1", "issue" : "8", "issued" : { "date-parts" : [ [ "2004" ] ] }, "page" : "1082-90", "title" : "Analysis of the relationship between total cholesterol, age, body mass index among males and females in the WHO MONICA Project.", "type" : "article-journal", "volume" : "28" }, "uris" : [ "http://www.mendeley.com/documents/?uuid=4c42001d-7868-4532-8a56-8751377af6d4" ] } ], "mendeley" : { "formattedCitation" : "(97)", "plainTextFormattedCitation" : "(97)", "previouslyFormattedCitation" : "(97)" }, "properties" : { "noteIndex" : 0 }, "schema" : "https://github.com/citation-style-language/schema/raw/master/csl-citation.json" }</w:instrText>
      </w:r>
      <w:r w:rsidR="00515BBA">
        <w:rPr>
          <w:lang w:val="en-GB"/>
        </w:rPr>
        <w:fldChar w:fldCharType="separate"/>
      </w:r>
      <w:r w:rsidR="00C7364E" w:rsidRPr="00C7364E">
        <w:rPr>
          <w:noProof/>
          <w:lang w:val="en-GB"/>
        </w:rPr>
        <w:t>(97)</w:t>
      </w:r>
      <w:r w:rsidR="00515BBA">
        <w:rPr>
          <w:lang w:val="en-GB"/>
        </w:rPr>
        <w:fldChar w:fldCharType="end"/>
      </w:r>
      <w:r w:rsidR="007D4E14">
        <w:rPr>
          <w:lang w:val="en-GB"/>
        </w:rPr>
        <w:t>.</w:t>
      </w:r>
      <w:r w:rsidR="00F250BA">
        <w:rPr>
          <w:lang w:val="en-GB"/>
        </w:rPr>
        <w:t xml:space="preserve"> </w:t>
      </w:r>
    </w:p>
    <w:p w14:paraId="32C7093F" w14:textId="133A59D5" w:rsidR="0032716A" w:rsidRPr="0032716A" w:rsidRDefault="00B138F2" w:rsidP="006C620D">
      <w:pPr>
        <w:spacing w:line="360" w:lineRule="auto"/>
        <w:jc w:val="both"/>
        <w:rPr>
          <w:lang w:val="en-GB"/>
        </w:rPr>
      </w:pPr>
      <w:r>
        <w:rPr>
          <w:lang w:val="en-GB"/>
        </w:rPr>
        <w:t>I</w:t>
      </w:r>
      <w:r w:rsidR="00396886">
        <w:rPr>
          <w:lang w:val="en-GB"/>
        </w:rPr>
        <w:t>n</w:t>
      </w:r>
      <w:r>
        <w:rPr>
          <w:lang w:val="en-GB"/>
        </w:rPr>
        <w:t xml:space="preserve"> contrast to what we observed in FtM adolescents who started CSH therapy, </w:t>
      </w:r>
      <w:r w:rsidR="0032716A">
        <w:rPr>
          <w:lang w:val="en-GB"/>
        </w:rPr>
        <w:t>hormone</w:t>
      </w:r>
      <w:r>
        <w:rPr>
          <w:lang w:val="en-GB"/>
        </w:rPr>
        <w:t xml:space="preserve"> levels</w:t>
      </w:r>
      <w:r w:rsidR="0032716A">
        <w:rPr>
          <w:lang w:val="en-GB"/>
        </w:rPr>
        <w:t xml:space="preserve"> </w:t>
      </w:r>
      <w:r>
        <w:rPr>
          <w:lang w:val="en-GB"/>
        </w:rPr>
        <w:t xml:space="preserve">continued to change </w:t>
      </w:r>
      <w:r w:rsidR="0032716A">
        <w:rPr>
          <w:lang w:val="en-GB"/>
        </w:rPr>
        <w:t xml:space="preserve">after the first six months of CA+E. This </w:t>
      </w:r>
      <w:r>
        <w:rPr>
          <w:lang w:val="en-GB"/>
        </w:rPr>
        <w:t xml:space="preserve">might </w:t>
      </w:r>
      <w:r w:rsidR="0032716A">
        <w:rPr>
          <w:lang w:val="en-GB"/>
        </w:rPr>
        <w:t>indicate that the initial dose of 0,5</w:t>
      </w:r>
      <w:r>
        <w:rPr>
          <w:lang w:val="en-GB"/>
        </w:rPr>
        <w:t xml:space="preserve"> </w:t>
      </w:r>
      <w:r w:rsidR="0032716A">
        <w:rPr>
          <w:lang w:val="en-GB"/>
        </w:rPr>
        <w:t xml:space="preserve">mg E </w:t>
      </w:r>
      <w:r w:rsidR="00A8017F">
        <w:rPr>
          <w:lang w:val="en-GB"/>
        </w:rPr>
        <w:t xml:space="preserve">is </w:t>
      </w:r>
      <w:r w:rsidR="0032716A">
        <w:rPr>
          <w:lang w:val="en-GB"/>
        </w:rPr>
        <w:t xml:space="preserve">too low to have </w:t>
      </w:r>
      <w:r w:rsidR="00AE2B03">
        <w:rPr>
          <w:lang w:val="en-GB"/>
        </w:rPr>
        <w:t xml:space="preserve">a </w:t>
      </w:r>
      <w:r w:rsidR="00E17770">
        <w:rPr>
          <w:lang w:val="en-GB"/>
        </w:rPr>
        <w:t>direct desirable</w:t>
      </w:r>
      <w:r w:rsidR="0032716A">
        <w:rPr>
          <w:lang w:val="en-GB"/>
        </w:rPr>
        <w:t xml:space="preserve"> effect</w:t>
      </w:r>
      <w:r w:rsidR="001944EE">
        <w:rPr>
          <w:lang w:val="en-GB"/>
        </w:rPr>
        <w:t xml:space="preserve"> on hormone levels</w:t>
      </w:r>
      <w:r w:rsidR="0032716A">
        <w:rPr>
          <w:lang w:val="en-GB"/>
        </w:rPr>
        <w:t>.</w:t>
      </w:r>
    </w:p>
    <w:p w14:paraId="3A7BD829" w14:textId="5C52BBE3" w:rsidR="0085481C" w:rsidRDefault="002A6C4D" w:rsidP="006C620D">
      <w:pPr>
        <w:spacing w:line="360" w:lineRule="auto"/>
        <w:jc w:val="both"/>
        <w:rPr>
          <w:lang w:val="en-GB"/>
        </w:rPr>
      </w:pPr>
      <w:r>
        <w:rPr>
          <w:lang w:val="en-GB"/>
        </w:rPr>
        <w:t>CA</w:t>
      </w:r>
      <w:r w:rsidR="00447DDF">
        <w:rPr>
          <w:lang w:val="en-GB"/>
        </w:rPr>
        <w:t xml:space="preserve"> decrease</w:t>
      </w:r>
      <w:r>
        <w:rPr>
          <w:lang w:val="en-GB"/>
        </w:rPr>
        <w:t>d</w:t>
      </w:r>
      <w:r w:rsidR="00396886">
        <w:rPr>
          <w:lang w:val="en-GB"/>
        </w:rPr>
        <w:t xml:space="preserve"> adrenal androgen production.</w:t>
      </w:r>
      <w:r w:rsidR="0085481C">
        <w:rPr>
          <w:lang w:val="en-GB"/>
        </w:rPr>
        <w:t xml:space="preserve"> Of note, </w:t>
      </w:r>
      <w:r w:rsidR="00447DDF">
        <w:rPr>
          <w:lang w:val="en-GB"/>
        </w:rPr>
        <w:t>CA has been associated in other studies with suppression of adrenal</w:t>
      </w:r>
      <w:r w:rsidR="0085481C">
        <w:rPr>
          <w:lang w:val="en-GB"/>
        </w:rPr>
        <w:t>, including glucocorticoid</w:t>
      </w:r>
      <w:r w:rsidR="00447DDF">
        <w:rPr>
          <w:lang w:val="en-GB"/>
        </w:rPr>
        <w:t xml:space="preserve"> function</w:t>
      </w:r>
      <w:r w:rsidR="00C21D25">
        <w:rPr>
          <w:lang w:val="en-GB"/>
        </w:rPr>
        <w:t xml:space="preserve"> and </w:t>
      </w:r>
      <w:r w:rsidR="00FD7519">
        <w:rPr>
          <w:lang w:val="en-GB"/>
        </w:rPr>
        <w:t>reduction of</w:t>
      </w:r>
      <w:r w:rsidR="00396886">
        <w:rPr>
          <w:lang w:val="en-GB"/>
        </w:rPr>
        <w:t xml:space="preserve"> </w:t>
      </w:r>
      <w:r w:rsidR="00C21D25">
        <w:rPr>
          <w:lang w:val="en-GB"/>
        </w:rPr>
        <w:t>adrenal weight</w:t>
      </w:r>
      <w:r w:rsidR="00447DDF">
        <w:rPr>
          <w:lang w:val="en-GB"/>
        </w:rPr>
        <w:t xml:space="preserve"> </w:t>
      </w:r>
      <w:r w:rsidR="00C21D25">
        <w:rPr>
          <w:lang w:val="en-GB"/>
        </w:rPr>
        <w:fldChar w:fldCharType="begin" w:fldLock="1"/>
      </w:r>
      <w:r w:rsidR="002C52CA">
        <w:rPr>
          <w:lang w:val="en-GB"/>
        </w:rPr>
        <w:instrText>ADDIN CSL_CITATION { "citationItems" : [ { "id" : "ITEM-1", "itemData" : { "DOI" : "10.1111/j.1651-2227.1979.tb06189.x", "ISSN" : "0803-5253", "author" : [ { "dropping-particle" : "", "family" : "Stahnke", "given" : "N.", "non-dropping-particle" : "", "parse-names" : false, "suffix" : "" }, { "dropping-particle" : "", "family" : "Ilicki", "given" : "A.", "non-dropping-particle" : "", "parse-names" : false, "suffix" : "" }, { "dropping-particle" : "", "family" : "Willig", "given" : "R. P.", "non-dropping-particle" : "", "parse-names" : false, "suffix" : "" } ], "container-title" : "Acta Paediatrica", "id" : "ITEM-1", "issue" : "s277", "issued" : { "date-parts" : [ [ "1979" ] ] }, "page" : "32-40", "title" : "Effect of Cyproterone Acetate (Ca) on Growth and Endocrine Function in Precocious Puberty", "type" : "article-journal", "volume" : "68" }, "uris" : [ "http://www.mendeley.com/documents/?uuid=afad03f0-e2c1-49fb-84b4-3a0160cfc8dd" ] }, { "id" : "ITEM-2", "itemData" : { "ISSN" : "0306-5456", "PMID" : "6216913", "abstract" : "Function of the pituitary-adrenal axis was assessed in 16 adult female patients who had been taking cyproterone acetate for greater than 1 year. Some evidence of reduced basal cortisol output was seen in 25% of the patients, but plasma cortisol levels could be stimulated both by hypoglycaemia and by direct corticotrophin (ACTH) stimulation. The latter effect was confirmed by analysis of steroid excretion in urine although basal excreation rates indicated extensive adrenal suppression. These results suggest that cyproterone acetate does have some glucocorticoid activity which is able partially to suppress the pituitary--adrenal axis, but leaves it still responsive to stress.", "author" : [ { "dropping-particle" : "", "family" : "Hague", "given" : "W M", "non-dropping-particle" : "", "parse-names" : false, "suffix" : "" }, { "dropping-particle" : "", "family" : "Munro", "given" : "D S", "non-dropping-particle" : "", "parse-names" : false, "suffix" : "" }, { "dropping-particle" : "", "family" : "Sawers", "given" : "R S", "non-dropping-particle" : "", "parse-names" : false, "suffix" : "" }, { "dropping-particle" : "", "family" : "Duncan", "given" : "S L", "non-dropping-particle" : "", "parse-names" : false, "suffix" : "" }, { "dropping-particle" : "", "family" : "Honour", "given" : "J W", "non-dropping-particle" : "", "parse-names" : false, "suffix" : "" } ], "container-title" : "British journal of obstetrics and gynaecology", "id" : "ITEM-2", "issue" : "12", "issued" : { "date-parts" : [ [ "1982", "12" ] ] }, "note" : "onderdrukken bijnier", "page" : "981-4", "title" : "Long-term effects of cyproterone acetate on the pituitary adrenal axis in adult women.", "type" : "article-journal", "volume" : "89" }, "uris" : [ "http://www.mendeley.com/documents/?uuid=e2727eff-2258-4beb-9d83-198d0e5a6eb9" ] }, { "id" : "ITEM-3", "itemData" : { "DOI" : "10.1016/0014-2999(67)90107-0", "ISSN" : "00142999", "author" : [ { "dropping-particle" : "", "family" : "Neri", "given" : "Rudolph O.", "non-dropping-particle" : "", "parse-names" : false, "suffix" : "" }, { "dropping-particle" : "", "family" : "Monahan", "given" : "Margaret D.", "non-dropping-particle" : "", "parse-names" : false, "suffix" : "" }, { "dropping-particle" : "", "family" : "Meyer", "given" : "Jean G.", "non-dropping-particle" : "", "parse-names" : false, "suffix" : "" }, { "dropping-particle" : "", "family" : "Afonso", "given" : "Beverly A.", "non-dropping-particle" : "", "parse-names" : false, "suffix" : "" }, { "dropping-particle" : "", "family" : "Tabachnick", "given" : "I.A.", "non-dropping-particle" : "", "parse-names" : false, "suffix" : "" } ], "container-title" : "European Journal of Pharmacology", "id" : "ITEM-3", "issue" : "5", "issued" : { "date-parts" : [ [ "1967", "9" ] ] }, "page" : "438-444", "title" : "Biological studies on an anti-androgen (SH 714)", "type" : "article-journal", "volume" : "1" }, "uris" : [ "http://www.mendeley.com/documents/?uuid=ff184956-ba52-4524-9cbe-01f0839f1d3a" ] } ], "mendeley" : { "formattedCitation" : "(98\u2013100)", "plainTextFormattedCitation" : "(98\u2013100)", "previouslyFormattedCitation" : "(98\u2013100)" }, "properties" : { "noteIndex" : 0 }, "schema" : "https://github.com/citation-style-language/schema/raw/master/csl-citation.json" }</w:instrText>
      </w:r>
      <w:r w:rsidR="00C21D25">
        <w:rPr>
          <w:lang w:val="en-GB"/>
        </w:rPr>
        <w:fldChar w:fldCharType="separate"/>
      </w:r>
      <w:r w:rsidR="00C7364E" w:rsidRPr="00C7364E">
        <w:rPr>
          <w:noProof/>
          <w:lang w:val="en-GB"/>
        </w:rPr>
        <w:t>(98–100)</w:t>
      </w:r>
      <w:r w:rsidR="00C21D25">
        <w:rPr>
          <w:lang w:val="en-GB"/>
        </w:rPr>
        <w:fldChar w:fldCharType="end"/>
      </w:r>
      <w:r w:rsidR="005A5960" w:rsidRPr="00C21D25">
        <w:rPr>
          <w:lang w:val="en-GB"/>
        </w:rPr>
        <w:t>.</w:t>
      </w:r>
      <w:r w:rsidR="005A5960">
        <w:rPr>
          <w:lang w:val="en-GB"/>
        </w:rPr>
        <w:t xml:space="preserve"> </w:t>
      </w:r>
      <w:r w:rsidR="00FD7519">
        <w:rPr>
          <w:lang w:val="en-GB"/>
        </w:rPr>
        <w:t>Unfortunately, we did not measure c</w:t>
      </w:r>
      <w:r w:rsidR="009973BE">
        <w:rPr>
          <w:lang w:val="en-GB"/>
        </w:rPr>
        <w:t xml:space="preserve">ortisol levels </w:t>
      </w:r>
      <w:r w:rsidR="00FD7519">
        <w:rPr>
          <w:lang w:val="en-GB"/>
        </w:rPr>
        <w:t>n</w:t>
      </w:r>
      <w:r w:rsidR="009973BE">
        <w:rPr>
          <w:lang w:val="en-GB"/>
        </w:rPr>
        <w:t>or</w:t>
      </w:r>
      <w:r w:rsidR="00FD7519">
        <w:rPr>
          <w:lang w:val="en-GB"/>
        </w:rPr>
        <w:t xml:space="preserve"> performed </w:t>
      </w:r>
      <w:r w:rsidR="00447DDF">
        <w:rPr>
          <w:lang w:val="en-GB"/>
        </w:rPr>
        <w:t>ACTH-stimulation test</w:t>
      </w:r>
      <w:r w:rsidR="009973BE">
        <w:rPr>
          <w:lang w:val="en-GB"/>
        </w:rPr>
        <w:t>s</w:t>
      </w:r>
      <w:r w:rsidR="00447DDF">
        <w:rPr>
          <w:lang w:val="en-GB"/>
        </w:rPr>
        <w:t>, preventing us to draw any conclusions</w:t>
      </w:r>
      <w:r w:rsidR="0085481C">
        <w:rPr>
          <w:lang w:val="en-GB"/>
        </w:rPr>
        <w:t xml:space="preserve"> regarding this issue</w:t>
      </w:r>
      <w:r w:rsidR="00447DDF">
        <w:rPr>
          <w:lang w:val="en-GB"/>
        </w:rPr>
        <w:t xml:space="preserve">. </w:t>
      </w:r>
      <w:r w:rsidR="00FD7519">
        <w:rPr>
          <w:lang w:val="en-GB"/>
        </w:rPr>
        <w:t>However, we believe that</w:t>
      </w:r>
      <w:r w:rsidR="006C620D">
        <w:rPr>
          <w:lang w:val="en-GB"/>
        </w:rPr>
        <w:t xml:space="preserve"> further studies </w:t>
      </w:r>
      <w:r w:rsidR="00FD7519">
        <w:rPr>
          <w:lang w:val="en-GB"/>
        </w:rPr>
        <w:t xml:space="preserve">are needed </w:t>
      </w:r>
      <w:r w:rsidR="006C620D">
        <w:rPr>
          <w:lang w:val="en-GB"/>
        </w:rPr>
        <w:t xml:space="preserve">to assess whether CA can cause clinically relevant </w:t>
      </w:r>
      <w:r w:rsidR="00FD7519">
        <w:rPr>
          <w:lang w:val="en-GB"/>
        </w:rPr>
        <w:t xml:space="preserve">glucocorticoid </w:t>
      </w:r>
      <w:r w:rsidR="00396886">
        <w:rPr>
          <w:lang w:val="en-GB"/>
        </w:rPr>
        <w:t>suppression.</w:t>
      </w:r>
    </w:p>
    <w:p w14:paraId="18CA7405" w14:textId="4FC13212" w:rsidR="00946B48" w:rsidRDefault="00447DDF" w:rsidP="006C620D">
      <w:pPr>
        <w:spacing w:line="360" w:lineRule="auto"/>
        <w:jc w:val="both"/>
        <w:rPr>
          <w:lang w:val="en-GB"/>
        </w:rPr>
      </w:pPr>
      <w:r>
        <w:rPr>
          <w:lang w:val="en-GB"/>
        </w:rPr>
        <w:t xml:space="preserve">As expected, </w:t>
      </w:r>
      <w:r w:rsidR="00FD7519">
        <w:rPr>
          <w:lang w:val="en-GB"/>
        </w:rPr>
        <w:t xml:space="preserve">endogenous </w:t>
      </w:r>
      <w:r w:rsidRPr="00CF0F42">
        <w:rPr>
          <w:i/>
          <w:lang w:val="en-GB"/>
        </w:rPr>
        <w:t>gonadal hormones</w:t>
      </w:r>
      <w:r>
        <w:rPr>
          <w:lang w:val="en-GB"/>
        </w:rPr>
        <w:t xml:space="preserve"> decreased during </w:t>
      </w:r>
      <w:r w:rsidR="0085481C">
        <w:rPr>
          <w:lang w:val="en-GB"/>
        </w:rPr>
        <w:t xml:space="preserve">CA </w:t>
      </w:r>
      <w:r>
        <w:rPr>
          <w:lang w:val="en-GB"/>
        </w:rPr>
        <w:t>and even further during C</w:t>
      </w:r>
      <w:r w:rsidR="00F310DF">
        <w:rPr>
          <w:lang w:val="en-GB"/>
        </w:rPr>
        <w:t>A</w:t>
      </w:r>
      <w:r>
        <w:rPr>
          <w:lang w:val="en-GB"/>
        </w:rPr>
        <w:t>+E</w:t>
      </w:r>
      <w:r w:rsidR="00FD7519">
        <w:rPr>
          <w:lang w:val="en-GB"/>
        </w:rPr>
        <w:t>.</w:t>
      </w:r>
      <w:r>
        <w:rPr>
          <w:lang w:val="en-GB"/>
        </w:rPr>
        <w:t xml:space="preserve"> E2 levels increased</w:t>
      </w:r>
      <w:r w:rsidR="0085481C">
        <w:rPr>
          <w:lang w:val="en-GB"/>
        </w:rPr>
        <w:t xml:space="preserve"> </w:t>
      </w:r>
      <w:r w:rsidR="00FD7519">
        <w:rPr>
          <w:lang w:val="en-GB"/>
        </w:rPr>
        <w:t xml:space="preserve">in some patients </w:t>
      </w:r>
      <w:r w:rsidR="0085481C">
        <w:rPr>
          <w:lang w:val="en-GB"/>
        </w:rPr>
        <w:t>after addition of E to the treatment</w:t>
      </w:r>
      <w:r w:rsidR="00FD7519">
        <w:rPr>
          <w:lang w:val="en-GB"/>
        </w:rPr>
        <w:t>, however, in many adolescents, E2 levels remained under the detection limit, especially in the first six months (thus with the lowest E dose of 0.5 mg)</w:t>
      </w:r>
      <w:r>
        <w:rPr>
          <w:lang w:val="en-GB"/>
        </w:rPr>
        <w:t>.</w:t>
      </w:r>
      <w:r w:rsidR="00EB72EE">
        <w:rPr>
          <w:lang w:val="en-GB"/>
        </w:rPr>
        <w:t xml:space="preserve"> </w:t>
      </w:r>
      <w:r w:rsidR="00FD7519">
        <w:rPr>
          <w:lang w:val="en-GB"/>
        </w:rPr>
        <w:t xml:space="preserve">More precise methods to measure E2, such as </w:t>
      </w:r>
      <w:r w:rsidR="000D2941" w:rsidRPr="000D2941">
        <w:rPr>
          <w:lang w:val="en-GB"/>
        </w:rPr>
        <w:t>liquid chromatography tandem mass spectrometry</w:t>
      </w:r>
      <w:r w:rsidR="000D2941" w:rsidRPr="00C851D8">
        <w:rPr>
          <w:sz w:val="16"/>
          <w:szCs w:val="16"/>
          <w:lang w:val="en-GB"/>
        </w:rPr>
        <w:t xml:space="preserve"> </w:t>
      </w:r>
      <w:r w:rsidR="00FD7519">
        <w:rPr>
          <w:lang w:val="en-GB"/>
        </w:rPr>
        <w:t>are necessary to document these subtle changes, especially in the lower ranges.</w:t>
      </w:r>
      <w:r w:rsidR="00396886">
        <w:rPr>
          <w:lang w:val="en-GB"/>
        </w:rPr>
        <w:t xml:space="preserve"> </w:t>
      </w:r>
      <w:r>
        <w:rPr>
          <w:lang w:val="en-GB"/>
        </w:rPr>
        <w:t xml:space="preserve">Only small, non-significant changes in </w:t>
      </w:r>
      <w:r w:rsidRPr="00946B48">
        <w:rPr>
          <w:i/>
          <w:lang w:val="en-GB"/>
        </w:rPr>
        <w:t>SHBG</w:t>
      </w:r>
      <w:r>
        <w:rPr>
          <w:lang w:val="en-GB"/>
        </w:rPr>
        <w:t xml:space="preserve"> levels were seen. </w:t>
      </w:r>
      <w:r w:rsidR="00D65764" w:rsidRPr="00D65764">
        <w:rPr>
          <w:i/>
          <w:lang w:val="en-GB"/>
        </w:rPr>
        <w:t>Gonadotropin</w:t>
      </w:r>
      <w:r>
        <w:rPr>
          <w:lang w:val="en-GB"/>
        </w:rPr>
        <w:t xml:space="preserve"> levels</w:t>
      </w:r>
      <w:r w:rsidR="00EB72EE">
        <w:rPr>
          <w:lang w:val="en-GB"/>
        </w:rPr>
        <w:t xml:space="preserve"> were not significantly influenced by CA</w:t>
      </w:r>
      <w:r>
        <w:rPr>
          <w:lang w:val="en-GB"/>
        </w:rPr>
        <w:t xml:space="preserve"> </w:t>
      </w:r>
      <w:r w:rsidR="00EB72EE">
        <w:rPr>
          <w:lang w:val="en-GB"/>
        </w:rPr>
        <w:t xml:space="preserve">but </w:t>
      </w:r>
      <w:r>
        <w:rPr>
          <w:lang w:val="en-GB"/>
        </w:rPr>
        <w:t>decreased during C</w:t>
      </w:r>
      <w:r w:rsidR="00F310DF">
        <w:rPr>
          <w:lang w:val="en-GB"/>
        </w:rPr>
        <w:t>A</w:t>
      </w:r>
      <w:r>
        <w:rPr>
          <w:lang w:val="en-GB"/>
        </w:rPr>
        <w:t xml:space="preserve">+E, </w:t>
      </w:r>
      <w:r w:rsidR="00D65764">
        <w:rPr>
          <w:lang w:val="en-GB"/>
        </w:rPr>
        <w:t>which is similar to other studies</w:t>
      </w:r>
      <w:r>
        <w:rPr>
          <w:lang w:val="en-GB"/>
        </w:rPr>
        <w:t xml:space="preserve"> </w:t>
      </w:r>
      <w:r w:rsidR="007A3EDC">
        <w:rPr>
          <w:lang w:val="en-GB"/>
        </w:rPr>
        <w:fldChar w:fldCharType="begin" w:fldLock="1"/>
      </w:r>
      <w:r w:rsidR="002C52CA">
        <w:rPr>
          <w:lang w:val="en-GB"/>
        </w:rPr>
        <w:instrText>ADDIN CSL_CITATION { "citationItems" : [ { "id" : "ITEM-1", "itemData" : { "DOI" : "10.1530/eje.1.02192", "ISBN" : "0804-4643 (Print)\\r0804-4643 (Linking)", "ISSN" : "0804-4643", "PMID" : "16793944", "abstract" : "OBJECTIVE: Estrogen and androgen administration modulate the pituitary-thyroid axis through alterations in thyroid hormone-binding globulin (TBG) metabolism, but the effects of sex steroids on extrathyroidal thyroxine (T4) to triiodothyronine (T3) conversion in humans are unknown.\\n\\nDESIGN AND METHODS: We studied 36 male-to-female and 14 female-to-male euthyroid transsexuals at baseline and after 4 months of hormonal treatment. Male-to-female transsexuals were treated with cyproterone acetate (CA) 100 mg/day alone (n = 10) or in combination with either oral ethinyl estradiol (or-EE) 100 microg/day (n = 14) or transdermal 17beta-estradiol (td-E) 100 microg twice a week (n = 12). Female-to-male transsexuals were treated with i.m. testosterone 250 mg twice a week. A t-test was used to test for differences within groups and ANOVA with post hoc analysis to test for differences between the groups.\\n\\nRESULTS: Or-EE increased TBG (100 +/- 12%, P &lt; .001) and testosterone decreased TBG (-14 +/- 4%, P = 0.01), but free T4 did not change. Td-E and CA did not affect TBG concentrations. TSH was not different between groups at baseline or after treatment. CA decreased T3/T4 ratios (-9 +/- 3%, P = 0.04), suggesting that T4 to T3 conversion was lower. Testosterone increased T3/T4 ratios (30 +/- 9%, P = 0.02), which probably reflects higher T4 to T3 conversion.\\n\\nCONCLUSION: Oral but not transdermal estradiol increases TBG, whereas testosterone lowers TBG. Testosterone increases T3/T4 ratios. Estradiol does not affect T3/T4 ratios, irrespective of the route of administration.", "author" : [ { "dropping-particle" : "", "family" : "Bisschop", "given" : "Peter H", "non-dropping-particle" : "", "parse-names" : false, "suffix" : "" }, { "dropping-particle" : "", "family" : "Toorians", "given" : "Arno W", "non-dropping-particle" : "", "parse-names" : false, "suffix" : "" }, { "dropping-particle" : "", "family" : "Endert", "given" : "Erik", "non-dropping-particle" : "", "parse-names" : false, "suffix" : "" }, { "dropping-particle" : "", "family" : "Wiersinga", "given" : "Wilmar M", "non-dropping-particle" : "", "parse-names" : false, "suffix" : "" }, { "dropping-particle" : "", "family" : "Gooren", "given" : "Louis J", "non-dropping-particle" : "", "parse-names" : false, "suffix" : "" }, { "dropping-particle" : "", "family" : "Fliers", "given" : "Eric", "non-dropping-particle" : "", "parse-names" : false, "suffix" : "" } ], "container-title" : "European journal of endocrinology / European Federation of Endocrine Societies", "id" : "ITEM-1", "issue" : "1", "issued" : { "date-parts" : [ [ "2006" ] ] }, "page" : "11-6", "title" : "The effects of sex-steroid administration on the pituitary-thyroid axis in transsexuals.", "type" : "article-journal", "volume" : "155" }, "uris" : [ "http://www.mendeley.com/documents/?uuid=b4303e24-def4-4b8d-a34f-69438de74256" ] }, { "id" : "ITEM-2", "itemData" : { "ISSN" : "0270-4137", "PMID" : "6458025", "abstract" : "Five patients with prostatic carcinoma (stages T3N0M0) were injected intramuscularly with 300 mg of cyproterone acetate (CPA) (Androcur-Depot) at weekly intervals. The concentrations of CPA, testosterone, LH, FSH, and prolactin in plasma after the first, third, and fifth injection were measured by specific radioimmunoassays. After five injections of Androcur-Depot, CPA levels were slightly higher than in previous determinations, suggesting that a balance between active substance release from the depot and excretion could be achieved after eight to twelve injections, with only slightly higher levels of active substance attained. Testosterone levels clearly were reduced after the first injection of CPA, but the lowest values were registered only after three injections. Plasma concentrations of FSH and LH were slightly diminished, whereas the prolactin level increased after CPA therapy.", "author" : [ { "dropping-particle" : "", "family" : "Rost", "given" : "A", "non-dropping-particle" : "", "parse-names" : false, "suffix" : "" }, { "dropping-particle" : "", "family" : "Schmidt-Gollwitzer", "given" : "M", "non-dropping-particle" : "", "parse-names" : false, "suffix" : "" }, { "dropping-particle" : "", "family" : "Hantelmann", "given" : "W", "non-dropping-particle" : "", "parse-names" : false, "suffix" : "" }, { "dropping-particle" : "", "family" : "Brosig", "given" : "W", "non-dropping-particle" : "", "parse-names" : false, "suffix" : "" } ], "container-title" : "The Prostate", "id" : "ITEM-2", "issue" : "3", "issued" : { "date-parts" : [ [ "1981", "1" ] ] }, "note" : "PRL, LH/FSH", "page" : "315-22", "title" : "Cyproterone acetate, testosterone, LH, FSH, and prolactin levels in plasma after intramuscular application of cyproterone acetate in patients with prostatic cancer.", "type" : "article-journal", "volume" : "2" }, "uris" : [ "http://www.mendeley.com/documents/?uuid=48eaec75-9f72-4302-8d3c-67f34ac45e5f" ] } ], "mendeley" : { "formattedCitation" : "(101,102)", "plainTextFormattedCitation" : "(101,102)", "previouslyFormattedCitation" : "(101,102)" }, "properties" : { "noteIndex" : 0 }, "schema" : "https://github.com/citation-style-language/schema/raw/master/csl-citation.json" }</w:instrText>
      </w:r>
      <w:r w:rsidR="007A3EDC">
        <w:rPr>
          <w:lang w:val="en-GB"/>
        </w:rPr>
        <w:fldChar w:fldCharType="separate"/>
      </w:r>
      <w:r w:rsidR="00C7364E" w:rsidRPr="00C7364E">
        <w:rPr>
          <w:noProof/>
          <w:lang w:val="en-GB"/>
        </w:rPr>
        <w:t>(101,102)</w:t>
      </w:r>
      <w:r w:rsidR="007A3EDC">
        <w:rPr>
          <w:lang w:val="en-GB"/>
        </w:rPr>
        <w:fldChar w:fldCharType="end"/>
      </w:r>
      <w:r>
        <w:rPr>
          <w:lang w:val="en-GB"/>
        </w:rPr>
        <w:t>.</w:t>
      </w:r>
      <w:r w:rsidR="00DC4405">
        <w:rPr>
          <w:lang w:val="en-GB"/>
        </w:rPr>
        <w:t xml:space="preserve"> </w:t>
      </w:r>
      <w:r w:rsidR="00EB72EE">
        <w:rPr>
          <w:lang w:val="en-GB"/>
        </w:rPr>
        <w:t xml:space="preserve">The lowering of </w:t>
      </w:r>
      <w:r>
        <w:rPr>
          <w:lang w:val="en-GB"/>
        </w:rPr>
        <w:t xml:space="preserve">Inhibin B </w:t>
      </w:r>
      <w:r w:rsidR="00EB72EE">
        <w:rPr>
          <w:lang w:val="en-GB"/>
        </w:rPr>
        <w:t xml:space="preserve">during treatment suggests (partial) suppression of </w:t>
      </w:r>
      <w:r>
        <w:rPr>
          <w:lang w:val="en-GB"/>
        </w:rPr>
        <w:t>spermatogenesis</w:t>
      </w:r>
      <w:r w:rsidR="00EB72EE">
        <w:rPr>
          <w:lang w:val="en-GB"/>
        </w:rPr>
        <w:t>, however,</w:t>
      </w:r>
      <w:r>
        <w:rPr>
          <w:lang w:val="en-GB"/>
        </w:rPr>
        <w:t xml:space="preserve"> no semen samples were analysed to confirm this hypothesis.</w:t>
      </w:r>
      <w:r w:rsidR="00703392">
        <w:rPr>
          <w:lang w:val="en-GB"/>
        </w:rPr>
        <w:t xml:space="preserve"> </w:t>
      </w:r>
      <w:r w:rsidR="00EB72EE">
        <w:rPr>
          <w:lang w:val="en-GB"/>
        </w:rPr>
        <w:t xml:space="preserve">CA is well-known to increase </w:t>
      </w:r>
      <w:r w:rsidRPr="009C03F2">
        <w:rPr>
          <w:i/>
          <w:lang w:val="en-GB"/>
        </w:rPr>
        <w:t>prolactin</w:t>
      </w:r>
      <w:r>
        <w:rPr>
          <w:lang w:val="en-GB"/>
        </w:rPr>
        <w:t xml:space="preserve"> </w:t>
      </w:r>
      <w:r w:rsidR="00EB72EE">
        <w:rPr>
          <w:lang w:val="en-GB"/>
        </w:rPr>
        <w:lastRenderedPageBreak/>
        <w:t>secretion</w:t>
      </w:r>
      <w:r w:rsidR="001944EE">
        <w:rPr>
          <w:lang w:val="en-GB"/>
        </w:rPr>
        <w:t xml:space="preserve">, </w:t>
      </w:r>
      <w:r w:rsidR="00FD7519">
        <w:rPr>
          <w:lang w:val="en-GB"/>
        </w:rPr>
        <w:t>however, this does not (often) seem to result in clinically releva</w:t>
      </w:r>
      <w:r w:rsidR="00396886">
        <w:rPr>
          <w:lang w:val="en-GB"/>
        </w:rPr>
        <w:t>nt effects such as galactorr</w:t>
      </w:r>
      <w:r w:rsidR="002F0AFE">
        <w:rPr>
          <w:lang w:val="en-GB"/>
        </w:rPr>
        <w:t>h</w:t>
      </w:r>
      <w:r w:rsidR="00396886">
        <w:rPr>
          <w:lang w:val="en-GB"/>
        </w:rPr>
        <w:t>ea</w:t>
      </w:r>
      <w:r w:rsidR="00FD7519">
        <w:rPr>
          <w:lang w:val="en-GB"/>
        </w:rPr>
        <w:t xml:space="preserve"> </w:t>
      </w:r>
      <w:r w:rsidR="007A3EDC">
        <w:rPr>
          <w:lang w:val="en-GB"/>
        </w:rPr>
        <w:fldChar w:fldCharType="begin" w:fldLock="1"/>
      </w:r>
      <w:r w:rsidR="002C52CA">
        <w:rPr>
          <w:lang w:val="en-GB"/>
        </w:rPr>
        <w:instrText>ADDIN CSL_CITATION { "citationItems" : [ { "id" : "ITEM-1", "itemData" : { "ISSN" : "0300-5623", "PMID" : "6458145", "abstract" : "Plasma prolactin was measured in 10 patients with prostatic cancer during treatment with cyproterone acetate (300 mg/week i.m.) Prolactin was assayed during a six month period at weekly intervals during the first 4 weeks and then at monthly intervals. Orchiectomy was not carried out. After 6 months prolactin levels were elevated compared with pre-treatment levels. It is concluded from this study that cyproterone acetate interferes with prolactin secretion by the pituitary gland.", "author" : [ { "dropping-particle" : "", "family" : "Holub", "given" : "G", "non-dropping-particle" : "", "parse-names" : false, "suffix" : "" }, { "dropping-particle" : "", "family" : "Lunglmayr", "given" : "G", "non-dropping-particle" : "", "parse-names" : false, "suffix" : "" }, { "dropping-particle" : "", "family" : "Spona", "given" : "J", "non-dropping-particle" : "", "parse-names" : false, "suffix" : "" } ], "container-title" : "Urological research", "id" : "ITEM-1", "issue" : "5", "issued" : { "date-parts" : [ [ "1981", "1" ] ] }, "note" : "prolactine", "page" : "245-7", "title" : "Effect of cyproterone/acetate (SH-714) on plasma prolactin in patients with prostatic cancer.", "type" : "article-journal", "volume" : "9" }, "uris" : [ "http://www.mendeley.com/documents/?uuid=e4ed705b-5050-4cca-bd33-f93ca971d296" ] } ], "mendeley" : { "formattedCitation" : "(103)", "plainTextFormattedCitation" : "(103)", "previouslyFormattedCitation" : "(103)" }, "properties" : { "noteIndex" : 0 }, "schema" : "https://github.com/citation-style-language/schema/raw/master/csl-citation.json" }</w:instrText>
      </w:r>
      <w:r w:rsidR="007A3EDC">
        <w:rPr>
          <w:lang w:val="en-GB"/>
        </w:rPr>
        <w:fldChar w:fldCharType="separate"/>
      </w:r>
      <w:r w:rsidR="00C7364E" w:rsidRPr="00C7364E">
        <w:rPr>
          <w:noProof/>
          <w:lang w:val="en-GB"/>
        </w:rPr>
        <w:t>(103)</w:t>
      </w:r>
      <w:r w:rsidR="007A3EDC">
        <w:rPr>
          <w:lang w:val="en-GB"/>
        </w:rPr>
        <w:fldChar w:fldCharType="end"/>
      </w:r>
      <w:r w:rsidR="00396886">
        <w:rPr>
          <w:lang w:val="en-GB"/>
        </w:rPr>
        <w:t>.</w:t>
      </w:r>
    </w:p>
    <w:p w14:paraId="1F5B21D3" w14:textId="53D45749" w:rsidR="001944EE" w:rsidRDefault="000D2941" w:rsidP="006C620D">
      <w:pPr>
        <w:autoSpaceDE w:val="0"/>
        <w:autoSpaceDN w:val="0"/>
        <w:adjustRightInd w:val="0"/>
        <w:spacing w:after="0" w:line="360" w:lineRule="auto"/>
        <w:jc w:val="both"/>
        <w:rPr>
          <w:bCs/>
          <w:lang w:val="en-GB"/>
        </w:rPr>
      </w:pPr>
      <w:r>
        <w:rPr>
          <w:bCs/>
          <w:lang w:val="en-GB"/>
        </w:rPr>
        <w:t>T</w:t>
      </w:r>
      <w:r w:rsidR="001944EE">
        <w:rPr>
          <w:bCs/>
          <w:lang w:val="en-GB"/>
        </w:rPr>
        <w:t>his study has</w:t>
      </w:r>
      <w:r w:rsidR="001944EE" w:rsidRPr="00742AB9">
        <w:rPr>
          <w:bCs/>
          <w:lang w:val="en-GB"/>
        </w:rPr>
        <w:t xml:space="preserve"> the typical limitations of a retrospective</w:t>
      </w:r>
      <w:r w:rsidR="001944EE">
        <w:rPr>
          <w:bCs/>
          <w:lang w:val="en-GB"/>
        </w:rPr>
        <w:t xml:space="preserve"> </w:t>
      </w:r>
      <w:r w:rsidR="00B851EF">
        <w:rPr>
          <w:bCs/>
          <w:lang w:val="en-GB"/>
        </w:rPr>
        <w:t>analysis</w:t>
      </w:r>
      <w:r w:rsidR="00122293">
        <w:rPr>
          <w:bCs/>
          <w:lang w:val="en-GB"/>
        </w:rPr>
        <w:t>: a number of missing data,</w:t>
      </w:r>
      <w:r w:rsidR="00122293" w:rsidRPr="00742AB9">
        <w:rPr>
          <w:bCs/>
          <w:lang w:val="en-GB"/>
        </w:rPr>
        <w:t xml:space="preserve"> the impossibility</w:t>
      </w:r>
      <w:r w:rsidR="00122293">
        <w:rPr>
          <w:bCs/>
          <w:lang w:val="en-GB"/>
        </w:rPr>
        <w:t xml:space="preserve"> to draw causal relationships and r</w:t>
      </w:r>
      <w:r w:rsidR="00122293" w:rsidRPr="00742AB9">
        <w:rPr>
          <w:bCs/>
          <w:lang w:val="en-GB"/>
        </w:rPr>
        <w:t>eported side effects</w:t>
      </w:r>
      <w:r w:rsidR="00122293">
        <w:rPr>
          <w:bCs/>
          <w:lang w:val="en-GB"/>
        </w:rPr>
        <w:t xml:space="preserve"> </w:t>
      </w:r>
      <w:r w:rsidR="00122293" w:rsidRPr="00742AB9">
        <w:rPr>
          <w:bCs/>
          <w:lang w:val="en-GB"/>
        </w:rPr>
        <w:t>were limited to those recorded in the patient’s files</w:t>
      </w:r>
      <w:r w:rsidR="00122293">
        <w:rPr>
          <w:bCs/>
          <w:lang w:val="en-GB"/>
        </w:rPr>
        <w:t xml:space="preserve"> </w:t>
      </w:r>
      <w:r w:rsidR="00122293" w:rsidRPr="00742AB9">
        <w:rPr>
          <w:bCs/>
          <w:lang w:val="en-GB"/>
        </w:rPr>
        <w:t>and can therefore be an underestimation</w:t>
      </w:r>
      <w:r>
        <w:rPr>
          <w:bCs/>
          <w:lang w:val="en-GB"/>
        </w:rPr>
        <w:t xml:space="preserve">. </w:t>
      </w:r>
      <w:r w:rsidR="00122293">
        <w:rPr>
          <w:bCs/>
          <w:lang w:val="en-GB"/>
        </w:rPr>
        <w:t xml:space="preserve">However, the </w:t>
      </w:r>
      <w:r w:rsidR="00B851EF">
        <w:rPr>
          <w:bCs/>
          <w:lang w:val="en-GB"/>
        </w:rPr>
        <w:t xml:space="preserve">strengths </w:t>
      </w:r>
      <w:r w:rsidR="00122293">
        <w:rPr>
          <w:bCs/>
          <w:lang w:val="en-GB"/>
        </w:rPr>
        <w:t>are</w:t>
      </w:r>
      <w:r>
        <w:rPr>
          <w:bCs/>
          <w:lang w:val="en-GB"/>
        </w:rPr>
        <w:t xml:space="preserve"> </w:t>
      </w:r>
      <w:r w:rsidR="00122293">
        <w:rPr>
          <w:bCs/>
          <w:lang w:val="en-GB"/>
        </w:rPr>
        <w:t xml:space="preserve">the </w:t>
      </w:r>
      <w:r w:rsidR="00122293" w:rsidRPr="00742AB9">
        <w:rPr>
          <w:bCs/>
          <w:lang w:val="en-GB"/>
        </w:rPr>
        <w:t>relatively large and homogenous patient</w:t>
      </w:r>
      <w:r w:rsidR="00122293">
        <w:rPr>
          <w:bCs/>
          <w:lang w:val="en-GB"/>
        </w:rPr>
        <w:t xml:space="preserve"> </w:t>
      </w:r>
      <w:r w:rsidR="00122293" w:rsidRPr="00742AB9">
        <w:rPr>
          <w:bCs/>
          <w:lang w:val="en-GB"/>
        </w:rPr>
        <w:t>population</w:t>
      </w:r>
      <w:r w:rsidR="00122293">
        <w:rPr>
          <w:bCs/>
          <w:lang w:val="en-GB"/>
        </w:rPr>
        <w:t xml:space="preserve"> and</w:t>
      </w:r>
      <w:r w:rsidR="00122293" w:rsidRPr="00742AB9">
        <w:rPr>
          <w:bCs/>
          <w:lang w:val="en-GB"/>
        </w:rPr>
        <w:t xml:space="preserve"> the fact that this is a single center</w:t>
      </w:r>
      <w:r w:rsidR="00122293">
        <w:rPr>
          <w:bCs/>
          <w:lang w:val="en-GB"/>
        </w:rPr>
        <w:t xml:space="preserve"> </w:t>
      </w:r>
      <w:r w:rsidR="00122293" w:rsidRPr="00742AB9">
        <w:rPr>
          <w:bCs/>
          <w:lang w:val="en-GB"/>
        </w:rPr>
        <w:t>study where all patients received the same treatment regimen</w:t>
      </w:r>
      <w:r w:rsidR="00122293">
        <w:rPr>
          <w:bCs/>
          <w:lang w:val="en-GB"/>
        </w:rPr>
        <w:t xml:space="preserve"> </w:t>
      </w:r>
      <w:r w:rsidR="00122293" w:rsidRPr="00742AB9">
        <w:rPr>
          <w:bCs/>
          <w:lang w:val="en-GB"/>
        </w:rPr>
        <w:t>and follow-up schedule according to a strict protocol</w:t>
      </w:r>
      <w:r w:rsidR="00B851EF">
        <w:rPr>
          <w:bCs/>
          <w:lang w:val="en-GB"/>
        </w:rPr>
        <w:t xml:space="preserve">. </w:t>
      </w:r>
      <w:r w:rsidR="001944EE" w:rsidRPr="00742AB9">
        <w:rPr>
          <w:bCs/>
          <w:lang w:val="en-GB"/>
        </w:rPr>
        <w:t>It</w:t>
      </w:r>
      <w:r w:rsidR="001944EE">
        <w:rPr>
          <w:bCs/>
          <w:lang w:val="en-GB"/>
        </w:rPr>
        <w:t xml:space="preserve"> </w:t>
      </w:r>
      <w:r w:rsidR="001944EE" w:rsidRPr="00742AB9">
        <w:rPr>
          <w:bCs/>
          <w:lang w:val="en-GB"/>
        </w:rPr>
        <w:t xml:space="preserve">is, to our knowledge, the first report on the effects of </w:t>
      </w:r>
      <w:r w:rsidR="00B851EF">
        <w:rPr>
          <w:bCs/>
          <w:lang w:val="en-GB"/>
        </w:rPr>
        <w:t>CA</w:t>
      </w:r>
      <w:r w:rsidR="001944EE" w:rsidRPr="00742AB9">
        <w:rPr>
          <w:bCs/>
          <w:lang w:val="en-GB"/>
        </w:rPr>
        <w:t xml:space="preserve"> treatment in </w:t>
      </w:r>
      <w:r w:rsidR="00B851EF">
        <w:rPr>
          <w:bCs/>
          <w:lang w:val="en-GB"/>
        </w:rPr>
        <w:t>MtF</w:t>
      </w:r>
      <w:r w:rsidR="001944EE" w:rsidRPr="00742AB9">
        <w:rPr>
          <w:bCs/>
          <w:lang w:val="en-GB"/>
        </w:rPr>
        <w:t xml:space="preserve"> </w:t>
      </w:r>
      <w:r w:rsidR="001944EE">
        <w:rPr>
          <w:bCs/>
          <w:lang w:val="en-GB"/>
        </w:rPr>
        <w:t>trans</w:t>
      </w:r>
      <w:r w:rsidR="002E31BF">
        <w:rPr>
          <w:bCs/>
          <w:lang w:val="en-GB"/>
        </w:rPr>
        <w:t>gender</w:t>
      </w:r>
      <w:r w:rsidR="001944EE">
        <w:rPr>
          <w:bCs/>
          <w:lang w:val="en-GB"/>
        </w:rPr>
        <w:t xml:space="preserve"> </w:t>
      </w:r>
      <w:r w:rsidR="001944EE" w:rsidRPr="00742AB9">
        <w:rPr>
          <w:bCs/>
          <w:lang w:val="en-GB"/>
        </w:rPr>
        <w:t>adolescents and</w:t>
      </w:r>
      <w:r w:rsidR="001944EE">
        <w:rPr>
          <w:bCs/>
          <w:lang w:val="en-GB"/>
        </w:rPr>
        <w:t xml:space="preserve"> </w:t>
      </w:r>
      <w:r w:rsidR="001944EE" w:rsidRPr="00742AB9">
        <w:rPr>
          <w:bCs/>
          <w:lang w:val="en-GB"/>
        </w:rPr>
        <w:t>one of the few studies reporting on CSH treatment in</w:t>
      </w:r>
      <w:r w:rsidR="001944EE">
        <w:rPr>
          <w:bCs/>
          <w:lang w:val="en-GB"/>
        </w:rPr>
        <w:t xml:space="preserve"> </w:t>
      </w:r>
      <w:r w:rsidR="001944EE" w:rsidRPr="00742AB9">
        <w:rPr>
          <w:bCs/>
          <w:lang w:val="en-GB"/>
        </w:rPr>
        <w:t>GD adolescents.</w:t>
      </w:r>
    </w:p>
    <w:p w14:paraId="22E88ABE" w14:textId="77777777" w:rsidR="000D2941" w:rsidRDefault="000D2941" w:rsidP="006C620D">
      <w:pPr>
        <w:jc w:val="both"/>
        <w:rPr>
          <w:lang w:val="en-GB"/>
        </w:rPr>
      </w:pPr>
    </w:p>
    <w:p w14:paraId="5A0DD506" w14:textId="3EBE4253" w:rsidR="000D2941" w:rsidRDefault="000D2941" w:rsidP="000D2941">
      <w:pPr>
        <w:autoSpaceDE w:val="0"/>
        <w:autoSpaceDN w:val="0"/>
        <w:adjustRightInd w:val="0"/>
        <w:spacing w:after="0" w:line="360" w:lineRule="auto"/>
        <w:jc w:val="both"/>
        <w:rPr>
          <w:bCs/>
          <w:lang w:val="en-GB"/>
        </w:rPr>
      </w:pPr>
    </w:p>
    <w:p w14:paraId="6753E756" w14:textId="003F994B" w:rsidR="00946B48" w:rsidRDefault="00946B48" w:rsidP="006C620D">
      <w:pPr>
        <w:jc w:val="both"/>
        <w:rPr>
          <w:lang w:val="en-GB"/>
        </w:rPr>
      </w:pPr>
      <w:r>
        <w:rPr>
          <w:lang w:val="en-GB"/>
        </w:rPr>
        <w:br w:type="page"/>
      </w:r>
    </w:p>
    <w:p w14:paraId="64124C5E" w14:textId="49E07206" w:rsidR="00B271BF" w:rsidRPr="00AE1316" w:rsidRDefault="00535F44" w:rsidP="00AE1316">
      <w:pPr>
        <w:pStyle w:val="Kop2"/>
        <w:rPr>
          <w:lang w:val="en-GB"/>
        </w:rPr>
      </w:pPr>
      <w:bookmarkStart w:id="66" w:name="_Toc451961522"/>
      <w:r>
        <w:rPr>
          <w:lang w:val="en-GB"/>
        </w:rPr>
        <w:lastRenderedPageBreak/>
        <w:t xml:space="preserve">Effects </w:t>
      </w:r>
      <w:r w:rsidR="00B271BF" w:rsidRPr="00AE1316">
        <w:rPr>
          <w:lang w:val="en-GB"/>
        </w:rPr>
        <w:t xml:space="preserve">of progestins on </w:t>
      </w:r>
      <w:r>
        <w:rPr>
          <w:lang w:val="en-GB"/>
        </w:rPr>
        <w:t>body composition and muscle and bone development</w:t>
      </w:r>
      <w:bookmarkEnd w:id="66"/>
    </w:p>
    <w:p w14:paraId="6C4EFFC1" w14:textId="2607D17B" w:rsidR="0081463F" w:rsidRDefault="00535F44" w:rsidP="00F21365">
      <w:pPr>
        <w:spacing w:after="0" w:line="360" w:lineRule="auto"/>
        <w:jc w:val="both"/>
        <w:rPr>
          <w:lang w:val="en-GB"/>
        </w:rPr>
      </w:pPr>
      <w:r>
        <w:rPr>
          <w:lang w:val="en-GB"/>
        </w:rPr>
        <w:t xml:space="preserve">A major concern with </w:t>
      </w:r>
      <w:r w:rsidR="0053629C" w:rsidRPr="0081463F">
        <w:rPr>
          <w:lang w:val="en-GB"/>
        </w:rPr>
        <w:t xml:space="preserve">GnRHa </w:t>
      </w:r>
      <w:r>
        <w:rPr>
          <w:lang w:val="en-GB"/>
        </w:rPr>
        <w:t xml:space="preserve">is that </w:t>
      </w:r>
      <w:r w:rsidR="00396886">
        <w:rPr>
          <w:lang w:val="en-GB"/>
        </w:rPr>
        <w:t xml:space="preserve">it </w:t>
      </w:r>
      <w:r w:rsidR="0053629C" w:rsidRPr="0081463F">
        <w:rPr>
          <w:lang w:val="en-GB"/>
        </w:rPr>
        <w:t>negatively impact</w:t>
      </w:r>
      <w:r w:rsidR="00396886">
        <w:rPr>
          <w:lang w:val="en-GB"/>
        </w:rPr>
        <w:t>s</w:t>
      </w:r>
      <w:r w:rsidR="0053629C" w:rsidRPr="0081463F">
        <w:rPr>
          <w:lang w:val="en-GB"/>
        </w:rPr>
        <w:t xml:space="preserve"> bone development </w:t>
      </w:r>
      <w:r w:rsidR="00E80552" w:rsidRPr="0081463F">
        <w:rPr>
          <w:lang w:val="en-GB"/>
        </w:rPr>
        <w:t>in</w:t>
      </w:r>
      <w:r w:rsidR="0053629C" w:rsidRPr="0081463F">
        <w:rPr>
          <w:lang w:val="en-GB"/>
        </w:rPr>
        <w:t xml:space="preserve"> a period in life </w:t>
      </w:r>
      <w:r w:rsidR="00E80552" w:rsidRPr="0081463F">
        <w:rPr>
          <w:lang w:val="en-GB"/>
        </w:rPr>
        <w:t>during which</w:t>
      </w:r>
      <w:r w:rsidR="0053629C" w:rsidRPr="0081463F">
        <w:rPr>
          <w:lang w:val="en-GB"/>
        </w:rPr>
        <w:t xml:space="preserve"> bone </w:t>
      </w:r>
      <w:r w:rsidR="00A04F50">
        <w:rPr>
          <w:lang w:val="en-GB"/>
        </w:rPr>
        <w:t>mass accrual takes place</w:t>
      </w:r>
      <w:r w:rsidR="003076F9" w:rsidRPr="0081463F">
        <w:rPr>
          <w:lang w:val="en-GB"/>
        </w:rPr>
        <w:t xml:space="preserve"> </w:t>
      </w:r>
      <w:r w:rsidR="007A3EDC" w:rsidRPr="0081463F">
        <w:rPr>
          <w:lang w:val="en-GB"/>
        </w:rPr>
        <w:fldChar w:fldCharType="begin" w:fldLock="1"/>
      </w:r>
      <w:r w:rsidR="002C52CA">
        <w:rPr>
          <w:lang w:val="en-GB"/>
        </w:rPr>
        <w:instrText>ADDIN CSL_CITATION { "citationItems" : [ { "id" : "ITEM-1", "itemData" : { "DOI" : "10.1210/jc.2014-2439", "ISSN" : "0021-972X", "author" : [ { "dropping-particle" : "", "family" : "Klink", "given" : "Daniel", "non-dropping-particle" : "", "parse-names" : false, "suffix" : "" }, { "dropping-particle" : "", "family" : "Caris", "given" : "Martine", "non-dropping-particle" : "", "parse-names" : false, "suffix" : "" }, { "dropping-particle" : "", "family" : "Heijboer", "given" : "Annemieke", "non-dropping-particle" : "", "parse-names" : false, "suffix" : "" }, { "dropping-particle" : "", "family" : "Trotsenburg", "given" : "Michael", "non-dropping-particle" : "van", "parse-names" : false, "suffix" : "" }, { "dropping-particle" : "", "family" : "Rotteveel", "given" : "Joost", "non-dropping-particle" : "", "parse-names" : false, "suffix" : "" } ], "container-title" : "The Journal of Clinical Endocrinology &amp; Metabolism", "id" : "ITEM-1", "issue" : "2", "issued" : { "date-parts" : [ [ "2015" ] ] }, "note" : "We used natal sex as a reference for aBMD z scores because the size and quality of cortex of the bone is determined during puberty and adolescence (9, 10), in line with recent studies on bone mass in transgender adults (11, 12)", "page" : "E270-E275", "title" : "Bone Mass in Young Adulthood Following Gonadotropin-Releasing Hormone Analog Treatment and Cross-Sex Hormone Treatment in Adolescents With Gender Dysphoria", "type" : "article-journal", "volume" : "100" }, "uris" : [ "http://www.mendeley.com/documents/?uuid=565fa812-8bbe-451b-b24f-794df44fd2b5" ] } ], "mendeley" : { "formattedCitation" : "(48)", "plainTextFormattedCitation" : "(48)", "previouslyFormattedCitation" : "(48)" }, "properties" : { "noteIndex" : 0 }, "schema" : "https://github.com/citation-style-language/schema/raw/master/csl-citation.json" }</w:instrText>
      </w:r>
      <w:r w:rsidR="007A3EDC" w:rsidRPr="0081463F">
        <w:rPr>
          <w:lang w:val="en-GB"/>
        </w:rPr>
        <w:fldChar w:fldCharType="separate"/>
      </w:r>
      <w:r w:rsidR="00C7364E" w:rsidRPr="00C7364E">
        <w:rPr>
          <w:noProof/>
          <w:lang w:val="en-GB"/>
        </w:rPr>
        <w:t>(48)</w:t>
      </w:r>
      <w:r w:rsidR="007A3EDC" w:rsidRPr="0081463F">
        <w:rPr>
          <w:lang w:val="en-GB"/>
        </w:rPr>
        <w:fldChar w:fldCharType="end"/>
      </w:r>
      <w:r w:rsidR="0053629C" w:rsidRPr="0081463F">
        <w:rPr>
          <w:lang w:val="en-GB"/>
        </w:rPr>
        <w:t xml:space="preserve">. </w:t>
      </w:r>
      <w:r w:rsidR="00A04F50">
        <w:rPr>
          <w:lang w:val="en-GB"/>
        </w:rPr>
        <w:t>In the two previo</w:t>
      </w:r>
      <w:r w:rsidR="00AA1CBE">
        <w:rPr>
          <w:lang w:val="en-GB"/>
        </w:rPr>
        <w:t>u</w:t>
      </w:r>
      <w:r w:rsidR="00A04F50">
        <w:rPr>
          <w:lang w:val="en-GB"/>
        </w:rPr>
        <w:t>s studies, w</w:t>
      </w:r>
      <w:r w:rsidR="0053629C" w:rsidRPr="0081463F">
        <w:rPr>
          <w:lang w:val="en-GB"/>
        </w:rPr>
        <w:t>e have shown that progestins do not suppress gonadotropins and endogenous sex steroid production</w:t>
      </w:r>
      <w:r w:rsidR="00A04F50">
        <w:rPr>
          <w:lang w:val="en-GB"/>
        </w:rPr>
        <w:t xml:space="preserve"> completely. Therefore</w:t>
      </w:r>
      <w:r w:rsidR="00236FDC">
        <w:rPr>
          <w:lang w:val="en-GB"/>
        </w:rPr>
        <w:t>,</w:t>
      </w:r>
      <w:r w:rsidR="00A04F50">
        <w:rPr>
          <w:lang w:val="en-GB"/>
        </w:rPr>
        <w:t xml:space="preserve"> we hypothesized that the</w:t>
      </w:r>
      <w:r w:rsidR="00A360AA">
        <w:rPr>
          <w:lang w:val="en-GB"/>
        </w:rPr>
        <w:t>ir</w:t>
      </w:r>
      <w:r w:rsidR="00A04F50">
        <w:rPr>
          <w:lang w:val="en-GB"/>
        </w:rPr>
        <w:t xml:space="preserve"> impact </w:t>
      </w:r>
      <w:r w:rsidR="00FC7B38">
        <w:rPr>
          <w:lang w:val="en-GB"/>
        </w:rPr>
        <w:t>on</w:t>
      </w:r>
      <w:r w:rsidR="00A04F50">
        <w:rPr>
          <w:lang w:val="en-GB"/>
        </w:rPr>
        <w:t xml:space="preserve"> bone</w:t>
      </w:r>
      <w:r w:rsidR="004A0576">
        <w:rPr>
          <w:lang w:val="en-GB"/>
        </w:rPr>
        <w:t xml:space="preserve"> accrual is less </w:t>
      </w:r>
      <w:r>
        <w:rPr>
          <w:lang w:val="en-GB"/>
        </w:rPr>
        <w:t xml:space="preserve">pronounced as compared to </w:t>
      </w:r>
      <w:r w:rsidR="004A0576">
        <w:rPr>
          <w:lang w:val="en-GB"/>
        </w:rPr>
        <w:t>GnRHa</w:t>
      </w:r>
      <w:r w:rsidR="00A04F50">
        <w:rPr>
          <w:lang w:val="en-GB"/>
        </w:rPr>
        <w:t xml:space="preserve">. </w:t>
      </w:r>
      <w:r>
        <w:rPr>
          <w:lang w:val="en-GB"/>
        </w:rPr>
        <w:t>In addition, w</w:t>
      </w:r>
      <w:r w:rsidR="004A0576">
        <w:rPr>
          <w:lang w:val="en-GB"/>
        </w:rPr>
        <w:t>e investigate</w:t>
      </w:r>
      <w:r>
        <w:rPr>
          <w:lang w:val="en-GB"/>
        </w:rPr>
        <w:t>d</w:t>
      </w:r>
      <w:r w:rsidR="004A0576">
        <w:rPr>
          <w:lang w:val="en-GB"/>
        </w:rPr>
        <w:t xml:space="preserve"> whether pro- and anti-androgenic progestins caused body composition changes towards the desired sex. </w:t>
      </w:r>
      <w:r w:rsidR="0053629C" w:rsidRPr="0081463F">
        <w:rPr>
          <w:lang w:val="en-GB"/>
        </w:rPr>
        <w:t xml:space="preserve">This is the first study that evaluates the effects of progestins in monotherapy on body composition and bone development in </w:t>
      </w:r>
      <w:r>
        <w:rPr>
          <w:lang w:val="en-GB"/>
        </w:rPr>
        <w:t xml:space="preserve">transgender </w:t>
      </w:r>
      <w:r w:rsidR="00A04F50">
        <w:rPr>
          <w:lang w:val="en-GB"/>
        </w:rPr>
        <w:t>adolescents</w:t>
      </w:r>
      <w:r w:rsidR="0053629C" w:rsidRPr="0081463F">
        <w:rPr>
          <w:lang w:val="en-GB"/>
        </w:rPr>
        <w:t>.</w:t>
      </w:r>
    </w:p>
    <w:p w14:paraId="176C3F40" w14:textId="04DDC48F" w:rsidR="00C3339C" w:rsidRDefault="00C3339C" w:rsidP="00C3339C">
      <w:pPr>
        <w:pStyle w:val="Kop3"/>
        <w:rPr>
          <w:lang w:val="en-GB"/>
        </w:rPr>
      </w:pPr>
      <w:bookmarkStart w:id="67" w:name="_Toc451961523"/>
      <w:r>
        <w:rPr>
          <w:lang w:val="en-GB"/>
        </w:rPr>
        <w:t>Body composition</w:t>
      </w:r>
      <w:bookmarkEnd w:id="67"/>
    </w:p>
    <w:p w14:paraId="4F76EA3E" w14:textId="35017DF9" w:rsidR="00716BE1" w:rsidRPr="0081463F" w:rsidRDefault="00473AAE" w:rsidP="00F21365">
      <w:pPr>
        <w:spacing w:after="0" w:line="360" w:lineRule="auto"/>
        <w:jc w:val="both"/>
        <w:rPr>
          <w:lang w:val="en-GB"/>
        </w:rPr>
      </w:pPr>
      <w:r>
        <w:rPr>
          <w:lang w:val="en-GB"/>
        </w:rPr>
        <w:t xml:space="preserve">Under L, </w:t>
      </w:r>
      <w:r w:rsidR="00F64DFC" w:rsidRPr="0081463F">
        <w:rPr>
          <w:lang w:val="en-GB"/>
        </w:rPr>
        <w:t>lean mass and grip strength</w:t>
      </w:r>
      <w:r>
        <w:rPr>
          <w:lang w:val="en-GB"/>
        </w:rPr>
        <w:t xml:space="preserve"> </w:t>
      </w:r>
      <w:r w:rsidR="00ED4F8A">
        <w:rPr>
          <w:lang w:val="en-GB"/>
        </w:rPr>
        <w:t xml:space="preserve">significantly </w:t>
      </w:r>
      <w:r>
        <w:rPr>
          <w:lang w:val="en-GB"/>
        </w:rPr>
        <w:t xml:space="preserve">increased. </w:t>
      </w:r>
      <w:r w:rsidR="00D671CC" w:rsidRPr="0081463F">
        <w:rPr>
          <w:lang w:val="en-GB"/>
        </w:rPr>
        <w:t>Similar effects</w:t>
      </w:r>
      <w:r w:rsidR="0016220E" w:rsidRPr="0081463F">
        <w:rPr>
          <w:lang w:val="en-GB"/>
        </w:rPr>
        <w:t xml:space="preserve"> on lean </w:t>
      </w:r>
      <w:r w:rsidR="004A0576">
        <w:rPr>
          <w:lang w:val="en-GB"/>
        </w:rPr>
        <w:t xml:space="preserve">body </w:t>
      </w:r>
      <w:r w:rsidR="0016220E" w:rsidRPr="0081463F">
        <w:rPr>
          <w:lang w:val="en-GB"/>
        </w:rPr>
        <w:t>mass</w:t>
      </w:r>
      <w:r w:rsidR="00716BE1" w:rsidRPr="0081463F">
        <w:rPr>
          <w:lang w:val="en-GB"/>
        </w:rPr>
        <w:t xml:space="preserve"> </w:t>
      </w:r>
      <w:r w:rsidR="003756E6" w:rsidRPr="0081463F">
        <w:rPr>
          <w:lang w:val="en-GB"/>
        </w:rPr>
        <w:t>ha</w:t>
      </w:r>
      <w:r w:rsidR="00D671CC" w:rsidRPr="0081463F">
        <w:rPr>
          <w:lang w:val="en-GB"/>
        </w:rPr>
        <w:t>ve</w:t>
      </w:r>
      <w:r w:rsidR="003756E6" w:rsidRPr="0081463F">
        <w:rPr>
          <w:lang w:val="en-GB"/>
        </w:rPr>
        <w:t xml:space="preserve"> been reported</w:t>
      </w:r>
      <w:r w:rsidR="0016220E" w:rsidRPr="0081463F">
        <w:rPr>
          <w:lang w:val="en-GB"/>
        </w:rPr>
        <w:t xml:space="preserve"> </w:t>
      </w:r>
      <w:r w:rsidR="00716BE1" w:rsidRPr="0081463F">
        <w:rPr>
          <w:lang w:val="en-GB"/>
        </w:rPr>
        <w:t xml:space="preserve">in </w:t>
      </w:r>
      <w:r w:rsidR="00ED4F8A" w:rsidRPr="0081463F">
        <w:rPr>
          <w:lang w:val="en-GB"/>
        </w:rPr>
        <w:t>adult FtM trans</w:t>
      </w:r>
      <w:r w:rsidR="00ED4F8A">
        <w:rPr>
          <w:lang w:val="en-GB"/>
        </w:rPr>
        <w:t>genders using androgens</w:t>
      </w:r>
      <w:r w:rsidR="00ED4F8A" w:rsidRPr="0081463F">
        <w:rPr>
          <w:lang w:val="en-GB"/>
        </w:rPr>
        <w:t xml:space="preserve"> </w:t>
      </w:r>
      <w:r w:rsidR="00ED4F8A">
        <w:rPr>
          <w:lang w:val="en-GB"/>
        </w:rPr>
        <w:t xml:space="preserve">and in </w:t>
      </w:r>
      <w:r w:rsidR="00716BE1" w:rsidRPr="0081463F">
        <w:rPr>
          <w:lang w:val="en-GB"/>
        </w:rPr>
        <w:t>athletes</w:t>
      </w:r>
      <w:r w:rsidR="00B53FF4" w:rsidRPr="0081463F">
        <w:rPr>
          <w:lang w:val="en-GB"/>
        </w:rPr>
        <w:t xml:space="preserve"> who use anabolic steroids</w:t>
      </w:r>
      <w:r w:rsidR="00ED4F8A">
        <w:rPr>
          <w:lang w:val="en-GB"/>
        </w:rPr>
        <w:t xml:space="preserve"> </w:t>
      </w:r>
      <w:r w:rsidR="007A3EDC" w:rsidRPr="0081463F">
        <w:rPr>
          <w:lang w:val="en-GB"/>
        </w:rPr>
        <w:fldChar w:fldCharType="begin" w:fldLock="1"/>
      </w:r>
      <w:r w:rsidR="002C52CA">
        <w:rPr>
          <w:lang w:val="en-GB"/>
        </w:rPr>
        <w:instrText>ADDIN CSL_CITATION { "citationItems" : [ { "id" : "ITEM-1", "itemData" : { "DOI" : "10.2165/00007256-200434080-00003", "ISBN" : "0112-1642", "ISSN" : "01121642", "PMID" : "15248788", "abstract" : "Androgenic-anabolic steroids (AAS) are synthetic derivatives of the male hormone testosterone. They can exert strong effects on the human body that may be beneficial for athletic performance. A review of the literature revealed that most laboratory studies did not investigate the actual doses of AAS currently abused in the field. Therefore, those studies may not reflect the actual (adverse) effects of steroids. The available scientific literature describes that short-term administration of these drugs by athletes can increase strength and bodyweight. Strength gains of about 5-20% of the initial strength and increments of 2-5 kg bodyweight, that may be attributed to an increase of the lean body mass, have been observed. A reduction of fat mass does not seem to occur. Although AAS administration may affect erythropoiesis and blood haemoglobin concentrations, no effect on endurance performance was observed. Little data about the effects of AAS on metabolic responses during exercise training and recovery are available and, therefore, do not allow firm conclusions. The main untoward effects of short- and long-term AAS abuse that male athletes most often self-report are an increase in sexual drive, the occurrence of acne vulgaris, increased body hair and increment of aggressive behaviour. AAS administration will disturb the regular endogenous production of testosterone and gonadotrophins that may persist for months after drug withdrawal. Cardiovascular risk factors may undergo deleterious alterations, including elevation of blood pressure and depression of serum high-density lipoprotein (HDL)-, HDL2- and HDL3-cholesterol levels. In echocardiographic studies in male athletes, AAS did not seem to affect cardiac structure and function, although in animal studies these drugs have been observed to exert hazardous effects on heart structure and function. In studies of athletes, AAS were not found to damage the liver. Psyche and behaviour seem to be strongly affected by AAS. Generally, AAS seem to induce increments of aggression and hostility. Mood disturbances (e.g. depression, [hypo-]mania, psychotic features) are likely to be dose and drug dependent. AAS dependence or withdrawal effects (such as depression) seem to occur only in a small number of AAS users. Dissatisfaction with the body and low self-esteem may lead to the so-called 'reverse anorexia syndrome' that predisposes to the start of AAS use. Many other adverse effects have been associated with AAS misuse\u2026", "author" : [ { "dropping-particle" : "", "family" : "Hartgens", "given" : "Fred", "non-dropping-particle" : "", "parse-names" : false, "suffix" : "" }, { "dropping-particle" : "", "family" : "Kuipers", "given" : "Harm", "non-dropping-particle" : "", "parse-names" : false, "suffix" : "" } ], "container-title" : "Sports Medicine", "id" : "ITEM-1", "issue" : "8", "issued" : { "date-parts" : [ [ "2004" ] ] }, "page" : "513-554", "title" : "Effects of androgenic-anabolic steroids in athletes", "type" : "article-journal", "volume" : "34" }, "uris" : [ "http://www.mendeley.com/documents/?uuid=68e9eba4-e0ce-4cdc-a8f1-0c29c63423d7" ] }, { "id" : "ITEM-2", "itemData" : { "DOI" : "10.1530/EJE-14-0586", "ISSN" : "0804-4643", "author" : [ { "dropping-particle" : "", "family" : "Caenegem", "given" : "E.", "non-dropping-particle" : "Van", "parse-names" : false, "suffix" : "" }, { "dropping-particle" : "", "family" : "Wierckx", "given" : "K.", "non-dropping-particle" : "", "parse-names" : false, "suffix" : "" }, { "dropping-particle" : "", "family" : "Taes", "given" : "Y.", "non-dropping-particle" : "", "parse-names" : false, "suffix" : "" }, { "dropping-particle" : "", "family" : "Schreiner", "given" : "T.", "non-dropping-particle" : "", "parse-names" : false, "suffix" : "" }, { "dropping-particle" : "", "family" : "Vandewalle", "given" : "S.", "non-dropping-particle" : "", "parse-names" : false, "suffix" : "" }, { "dropping-particle" : "", "family" : "Toye", "given" : "K.", "non-dropping-particle" : "", "parse-names" : false, "suffix" : "" }, { "dropping-particle" : "", "family" : "Lapauw", "given" : "B.", "non-dropping-particle" : "", "parse-names" : false, "suffix" : "" }, { "dropping-particle" : "", "family" : "Kaufman", "given" : "J.-M.", "non-dropping-particle" : "", "parse-names" : false, "suffix" : "" }, { "dropping-particle" : "", "family" : "T'Sjoen", "given" : "G.", "non-dropping-particle" : "", "parse-names" : false, "suffix" : "" } ], "container-title" : "European Journal of Endocrinology", "id" : "ITEM-2", "issue" : "2", "issued" : { "date-parts" : [ [ "2014" ] ] }, "page" : "163-171", "title" : "Body composition, bone turnover, and bone mass in trans men during testosterone treatment: 1-year follow-up data from a prospective case-controlled study (ENIGI)", "type" : "article-journal", "volume" : "172" }, "uris" : [ "http://www.mendeley.com/documents/?uuid=86cd9026-3633-46c7-9705-d9956395fe61" ] }, { "id" : "ITEM-3", "itemData" : { "DOI" : "10.1111/j.1743-6109.2010.01912.x", "ISBN" : "1743-6095\\n1743-6109", "ISSN" : "17436095", "PMID" : "20584125", "abstract" : "INTRODUCTION: The most common treatment regimen in female-to-male transsexuals is administration of short-acting testosterone esters intramuscularly every 2 weeks.\\n\\nAIM: The aim of this study was to evaluate the effect of long-acting intramuscular testosterone undecanoate on body composition and bone mineral density during cross-sex hormone therapy in female-to-male transsexuals.\\n\\nMETHODS: Forty-five female-to-male transsexuals (FtMs) were treated with injections of testosterone undecanoate 1,000 mg intramuscularly every 12 weeks over 24 months.\\n\\nMAIN OUTCOME MEASURES: Body composition, bone mineral density, hormone parameters, and lipids were compared after 12 months and after 24 months with baseline values. Sonographic findings in the ovaries and endometrium, clinical and adverse effects during the study period were recorded.\\n\\nRESULTS: There was a significant increase in lean mass in the FtMs during the study period in comparison with baseline values, whereas no change in BMI, fat mass, and bone mineral density was observed. There was a significant decline in gonadotropins, estradiol, dehydroepiandrosterone sulphate, sex hormone-binding globulin, and high-density lipoprotein, while testosterone and triglyceride levels increased significantly after 12 and 24 months. Ovaries remained unchanged and no noticeable endometrial pathology was observed. No mortality or morbidity was observed during the study period. We observed a cessation of menstrual bleeding, an increase in clitoral growth, libido, body and beard hair growth, deepened voices and decline in breast size. There was a significant increase in hemoglobin, hematocrit, glutamic-pyruvic transaminase, gamma-glutamyl transferase, and an increase in systolic blood pressure during the study period.\\n\\nCONCLUSIONS: There was an increase in lean mass during the study period in FtMs treated with testosterone undecanoate. Transsexual patients should be monitored for adverse effects on lipid profiles, blood pressure, and erythrocytosis during intramuscular testosterone undecanoate therapy.", "author" : [ { "dropping-particle" : "", "family" : "Mueller", "given" : "Andreas", "non-dropping-particle" : "", "parse-names" : false, "suffix" : "" }, { "dropping-particle" : "", "family" : "Haeberle", "given" : "Lothar", "non-dropping-particle" : "", "parse-names" : false, "suffix" : "" }, { "dropping-particle" : "", "family" : "Zollver", "given" : "Hendryk", "non-dropping-particle" : "", "parse-names" : false, "suffix" : "" }, { "dropping-particle" : "", "family" : "Claassen", "given" : "Tomma", "non-dropping-particle" : "", "parse-names" : false, "suffix" : "" }, { "dropping-particle" : "", "family" : "Kronawitter", "given" : "Desiree", "non-dropping-particle" : "", "parse-names" : false, "suffix" : "" }, { "dropping-particle" : "", "family" : "Oppelt", "given" : "Patricia G.", "non-dropping-particle" : "", "parse-names" : false, "suffix" : "" }, { "dropping-particle" : "", "family" : "Cupisti", "given" : "Susanne", "non-dropping-particle" : "", "parse-names" : false, "suffix" : "" }, { "dropping-particle" : "", "family" : "Beckmann", "given" : "Matthias W.", "non-dropping-particle" : "", "parse-names" : false, "suffix" : "" }, { "dropping-particle" : "", "family" : "Dittrich", "given" : "Ralf", "non-dropping-particle" : "", "parse-names" : false, "suffix" : "" } ], "container-title" : "Journal of Sexual Medicine", "id" : "ITEM-3", "issue" : "9", "issued" : { "date-parts" : [ [ "2010" ] ] }, "page" : "3190-3198", "title" : "Effects of Intramuscular Testosterone Undecanoate on Body Composition and Bone Mineral Density in Female-to-Male Transsexuals", "type" : "article-journal", "volume" : "7" }, "uris" : [ "http://www.mendeley.com/documents/?uuid=c91f916b-b7ba-4555-beb1-9d9d97c0a6c5" ] } ], "mendeley" : { "formattedCitation" : "(46,59,104)", "plainTextFormattedCitation" : "(46,59,104)", "previouslyFormattedCitation" : "(46,59,104)" }, "properties" : { "noteIndex" : 0 }, "schema" : "https://github.com/citation-style-language/schema/raw/master/csl-citation.json" }</w:instrText>
      </w:r>
      <w:r w:rsidR="007A3EDC" w:rsidRPr="0081463F">
        <w:rPr>
          <w:lang w:val="en-GB"/>
        </w:rPr>
        <w:fldChar w:fldCharType="separate"/>
      </w:r>
      <w:r w:rsidR="00C7364E" w:rsidRPr="00C7364E">
        <w:rPr>
          <w:noProof/>
          <w:lang w:val="en-GB"/>
        </w:rPr>
        <w:t>(46,59,104)</w:t>
      </w:r>
      <w:r w:rsidR="007A3EDC" w:rsidRPr="0081463F">
        <w:rPr>
          <w:lang w:val="en-GB"/>
        </w:rPr>
        <w:fldChar w:fldCharType="end"/>
      </w:r>
      <w:r w:rsidR="004249D5" w:rsidRPr="0081463F">
        <w:rPr>
          <w:lang w:val="en-GB"/>
        </w:rPr>
        <w:t>.</w:t>
      </w:r>
      <w:r w:rsidR="00661C4E">
        <w:rPr>
          <w:lang w:val="en-GB"/>
        </w:rPr>
        <w:t xml:space="preserve"> </w:t>
      </w:r>
      <w:r w:rsidR="00ED4F8A">
        <w:rPr>
          <w:lang w:val="en-GB"/>
        </w:rPr>
        <w:t>Also grip strength has</w:t>
      </w:r>
      <w:r w:rsidR="00ED4F8A" w:rsidRPr="0081463F">
        <w:rPr>
          <w:lang w:val="en-GB"/>
        </w:rPr>
        <w:t xml:space="preserve"> been </w:t>
      </w:r>
      <w:r w:rsidR="00ED4F8A">
        <w:rPr>
          <w:lang w:val="en-GB"/>
        </w:rPr>
        <w:t>reported</w:t>
      </w:r>
      <w:r w:rsidR="00ED4F8A" w:rsidRPr="0081463F">
        <w:rPr>
          <w:lang w:val="en-GB"/>
        </w:rPr>
        <w:t xml:space="preserve"> </w:t>
      </w:r>
      <w:r w:rsidR="00ED4F8A">
        <w:rPr>
          <w:lang w:val="en-GB"/>
        </w:rPr>
        <w:t xml:space="preserve">to increase </w:t>
      </w:r>
      <w:r w:rsidR="00ED4F8A" w:rsidRPr="0081463F">
        <w:rPr>
          <w:lang w:val="en-GB"/>
        </w:rPr>
        <w:t xml:space="preserve">in adult FtM transgenders </w:t>
      </w:r>
      <w:r w:rsidR="00ED4F8A">
        <w:rPr>
          <w:lang w:val="en-GB"/>
        </w:rPr>
        <w:t xml:space="preserve">and even </w:t>
      </w:r>
      <w:r w:rsidR="00D50484" w:rsidRPr="0081463F">
        <w:rPr>
          <w:lang w:val="en-GB"/>
        </w:rPr>
        <w:t>in w</w:t>
      </w:r>
      <w:r w:rsidR="00924D5B" w:rsidRPr="0081463F">
        <w:rPr>
          <w:lang w:val="en-GB"/>
        </w:rPr>
        <w:t xml:space="preserve">omen </w:t>
      </w:r>
      <w:r w:rsidR="00ED4F8A">
        <w:rPr>
          <w:lang w:val="en-GB"/>
        </w:rPr>
        <w:t>who have</w:t>
      </w:r>
      <w:r w:rsidR="00924D5B" w:rsidRPr="0081463F">
        <w:rPr>
          <w:lang w:val="en-GB"/>
        </w:rPr>
        <w:t xml:space="preserve"> </w:t>
      </w:r>
      <w:r w:rsidR="00ED4F8A">
        <w:rPr>
          <w:lang w:val="en-GB"/>
        </w:rPr>
        <w:t>increased androgen levels due to polycystic ovaries</w:t>
      </w:r>
      <w:r w:rsidR="00D50484" w:rsidRPr="0081463F">
        <w:rPr>
          <w:lang w:val="en-GB"/>
        </w:rPr>
        <w:t xml:space="preserve"> </w:t>
      </w:r>
      <w:r w:rsidR="007A3EDC" w:rsidRPr="0081463F">
        <w:rPr>
          <w:lang w:val="en-GB"/>
        </w:rPr>
        <w:fldChar w:fldCharType="begin" w:fldLock="1"/>
      </w:r>
      <w:r w:rsidR="002C52CA">
        <w:rPr>
          <w:lang w:val="en-GB"/>
        </w:rPr>
        <w:instrText>ADDIN CSL_CITATION { "citationItems" : [ { "id" : "ITEM-1", "itemData" : { "DOI" : "10.3109/09513590.2014.982083", "ISSN" : "1473-0766", "PMID" : "25430509", "abstract" : "Abstract The aim of this study was to compare metabolic parameters, body composition (BC) and muscle strength of women with and without polycystic ovary syndrome (PCOS). This was a case-control study that evaluated 40 women with PCOS and 40 controls. Androgens and insulin resistance were measured. BC was based on dual-energy X-ray absorptiometry. Isometric handgrip and maximal dynamic muscle strength (1-RM) strength tests were performed. Median total testosterone (p\u2009&lt;\u20090.01), free androgen index (p\u2009&lt;\u20090.01), insulin (p\u2009&lt;\u20090.01) and homeostasis model assessment-insulin resistance (p\u2009=\u20090.02) were higher and sex hormone binding globulin (SBHG) (p\u2009=\u20090.04) was lower in the PCOS group. Normoweight women with PCOS had higher percentages of android body fat. However, the prevalence of android fat distribution was higher in the PCOS than in the control group (p\u2009=\u20090.04). The strength 1-RM in bench press (p\u2009&lt;\u20090.01), muscle strength relative to lean muscle mass in the dominant lower limb (p\u2009=\u20090.04) and isometric handgrip strength tests (p\u2009=\u20090.03) was higher in the PCOS group. PCOS was a determinant of strength in the bench press exercise (p\u2009=\u20090.04). The hyperandrogenism was a predictor of increased strength in biceps curl exercises (p\u2009=\u20090.03) in the dominant lower limb (p\u2009=\u20090.02) and isometric handgrip strength (p\u2009=\u20090.03). In conclusion, women with PCOS have greater muscle strength and a higher prevalence of central obesity, but no difference in BC. Muscle strength may be related to high androgen levels in these women.", "author" : [ { "dropping-particle" : "", "family" : "Kogure", "given" : "Gislaine Satyko", "non-dropping-particle" : "", "parse-names" : false, "suffix" : "" }, { "dropping-particle" : "", "family" : "Silva", "given" : "Rafael Costa", "non-dropping-particle" : "", "parse-names" : false, "suffix" : "" }, { "dropping-particle" : "", "family" : "Picchi Ramos", "given" : "Fabiene K", "non-dropping-particle" : "", "parse-names" : false, "suffix" : "" }, { "dropping-particle" : "", "family" : "Miranda-Furtado", "given" : "Cristiana Libardi", "non-dropping-particle" : "", "parse-names" : false, "suffix" : "" }, { "dropping-particle" : "", "family" : "Lara", "given" : "Lucia Alves Da Silva", "non-dropping-particle" : "", "parse-names" : false, "suffix" : "" }, { "dropping-particle" : "", "family" : "Ferriani", "given" : "Rui Alberto", "non-dropping-particle" : "", "parse-names" : false, "suffix" : "" }, { "dropping-particle" : "", "family" : "Reis", "given" : "Rosana Maria", "non-dropping-particle" : "Dos", "parse-names" : false, "suffix" : "" } ], "container-title" : "Gynecological endocrinology : the official journal of the International Society of Gynecological Endocrinology", "id" : "ITEM-1", "issued" : { "date-parts" : [ [ "2014" ] ] }, "page" : "1-6", "title" : "Women with polycystic ovary syndrome have greater muscle strength irrespective of body composition.", "type" : "article-journal", "volume" : "3590" }, "uris" : [ "http://www.mendeley.com/documents/?uuid=d0a6b013-a785-4c06-82fe-6a952f3c2ead" ] }, { "id" : "ITEM-2", "itemData" : { "DOI" : "10.1530/EJE-14-0586", "ISSN" : "0804-4643", "author" : [ { "dropping-particle" : "", "family" : "Caenegem", "given" : "E.", "non-dropping-particle" : "Van", "parse-names" : false, "suffix" : "" }, { "dropping-particle" : "", "family" : "Wierckx", "given" : "K.", "non-dropping-particle" : "", "parse-names" : false, "suffix" : "" }, { "dropping-particle" : "", "family" : "Taes", "given" : "Y.", "non-dropping-particle" : "", "parse-names" : false, "suffix" : "" }, { "dropping-particle" : "", "family" : "Schreiner", "given" : "T.", "non-dropping-particle" : "", "parse-names" : false, "suffix" : "" }, { "dropping-particle" : "", "family" : "Vandewalle", "given" : "S.", "non-dropping-particle" : "", "parse-names" : false, "suffix" : "" }, { "dropping-particle" : "", "family" : "Toye", "given" : "K.", "non-dropping-particle" : "", "parse-names" : false, "suffix" : "" }, { "dropping-particle" : "", "family" : "Lapauw", "given" : "B.", "non-dropping-particle" : "", "parse-names" : false, "suffix" : "" }, { "dropping-particle" : "", "family" : "Kaufman", "given" : "J.-M.", "non-dropping-particle" : "", "parse-names" : false, "suffix" : "" }, { "dropping-particle" : "", "family" : "T'Sjoen", "given" : "G.", "non-dropping-particle" : "", "parse-names" : false, "suffix" : "" } ], "container-title" : "European Journal of Endocrinology", "id" : "ITEM-2", "issue" : "2", "issued" : { "date-parts" : [ [ "2014" ] ] }, "page" : "163-171", "title" : "Body composition, bone turnover, and bone mass in trans men during testosterone treatment: 1-year follow-up data from a prospective case-controlled study (ENIGI)", "type" : "article-journal", "volume" : "172" }, "uris" : [ "http://www.mendeley.com/documents/?uuid=86cd9026-3633-46c7-9705-d9956395fe61" ] } ], "mendeley" : { "formattedCitation" : "(46,105)", "plainTextFormattedCitation" : "(46,105)", "previouslyFormattedCitation" : "(46,105)" }, "properties" : { "noteIndex" : 0 }, "schema" : "https://github.com/citation-style-language/schema/raw/master/csl-citation.json" }</w:instrText>
      </w:r>
      <w:r w:rsidR="007A3EDC" w:rsidRPr="0081463F">
        <w:rPr>
          <w:lang w:val="en-GB"/>
        </w:rPr>
        <w:fldChar w:fldCharType="separate"/>
      </w:r>
      <w:r w:rsidR="00C7364E" w:rsidRPr="00C7364E">
        <w:rPr>
          <w:noProof/>
          <w:lang w:val="en-GB"/>
        </w:rPr>
        <w:t>(46,105)</w:t>
      </w:r>
      <w:r w:rsidR="007A3EDC" w:rsidRPr="0081463F">
        <w:rPr>
          <w:lang w:val="en-GB"/>
        </w:rPr>
        <w:fldChar w:fldCharType="end"/>
      </w:r>
      <w:r w:rsidR="00924D5B" w:rsidRPr="0081463F">
        <w:rPr>
          <w:lang w:val="en-GB"/>
        </w:rPr>
        <w:t xml:space="preserve">. </w:t>
      </w:r>
      <w:r w:rsidR="00ED4F8A">
        <w:rPr>
          <w:lang w:val="en-GB"/>
        </w:rPr>
        <w:t>Unfortunately, no controls or reference values are available to exclude aging as the cause of increased grip strength</w:t>
      </w:r>
      <w:r w:rsidR="00855A7E">
        <w:rPr>
          <w:lang w:val="en-GB"/>
        </w:rPr>
        <w:t>, but the fact that</w:t>
      </w:r>
      <w:r w:rsidR="00716BE1" w:rsidRPr="0081463F">
        <w:rPr>
          <w:lang w:val="en-GB"/>
        </w:rPr>
        <w:t xml:space="preserve"> muscle area</w:t>
      </w:r>
      <w:r w:rsidR="00855A7E">
        <w:rPr>
          <w:lang w:val="en-GB"/>
        </w:rPr>
        <w:t xml:space="preserve"> as measured by pQCT </w:t>
      </w:r>
      <w:r w:rsidR="00855A7E" w:rsidRPr="0081463F">
        <w:rPr>
          <w:lang w:val="en-GB"/>
        </w:rPr>
        <w:t>of the radius</w:t>
      </w:r>
      <w:r w:rsidR="00855A7E">
        <w:rPr>
          <w:lang w:val="en-GB"/>
        </w:rPr>
        <w:t xml:space="preserve"> increased </w:t>
      </w:r>
      <w:r w:rsidR="00716BE1" w:rsidRPr="0081463F">
        <w:rPr>
          <w:lang w:val="en-GB"/>
        </w:rPr>
        <w:t xml:space="preserve">significantly </w:t>
      </w:r>
      <w:r w:rsidR="00855A7E">
        <w:rPr>
          <w:lang w:val="en-GB"/>
        </w:rPr>
        <w:t>more</w:t>
      </w:r>
      <w:r w:rsidR="00855A7E" w:rsidRPr="0081463F">
        <w:rPr>
          <w:lang w:val="en-GB"/>
        </w:rPr>
        <w:t xml:space="preserve"> </w:t>
      </w:r>
      <w:r w:rsidR="00716BE1" w:rsidRPr="0081463F">
        <w:rPr>
          <w:lang w:val="en-GB"/>
        </w:rPr>
        <w:t xml:space="preserve">than </w:t>
      </w:r>
      <w:r w:rsidR="00D96325">
        <w:rPr>
          <w:lang w:val="en-GB"/>
        </w:rPr>
        <w:t xml:space="preserve">in </w:t>
      </w:r>
      <w:r w:rsidR="00716BE1" w:rsidRPr="0081463F">
        <w:rPr>
          <w:lang w:val="en-GB"/>
        </w:rPr>
        <w:t>age-matched</w:t>
      </w:r>
      <w:r w:rsidR="005C7DCA" w:rsidRPr="0081463F">
        <w:rPr>
          <w:lang w:val="en-GB"/>
        </w:rPr>
        <w:t>,</w:t>
      </w:r>
      <w:r w:rsidR="00716BE1" w:rsidRPr="0081463F">
        <w:rPr>
          <w:lang w:val="en-GB"/>
        </w:rPr>
        <w:t xml:space="preserve"> female peers </w:t>
      </w:r>
      <w:r w:rsidR="00855A7E">
        <w:rPr>
          <w:lang w:val="en-GB"/>
        </w:rPr>
        <w:t>provides indirect evidence for an - at least partial -</w:t>
      </w:r>
      <w:r w:rsidR="00396886">
        <w:rPr>
          <w:lang w:val="en-GB"/>
        </w:rPr>
        <w:t xml:space="preserve"> L induced effect.</w:t>
      </w:r>
      <w:r w:rsidR="00ED4F8A">
        <w:rPr>
          <w:lang w:val="en-GB"/>
        </w:rPr>
        <w:t xml:space="preserve"> T</w:t>
      </w:r>
      <w:r w:rsidR="00855A7E">
        <w:rPr>
          <w:lang w:val="en-GB"/>
        </w:rPr>
        <w:t>aken together, t</w:t>
      </w:r>
      <w:r w:rsidR="00ED4F8A">
        <w:rPr>
          <w:lang w:val="en-GB"/>
        </w:rPr>
        <w:t>he above findings suggest that L has a (weak) androgenic effect on lean body mass and body musculature</w:t>
      </w:r>
      <w:r w:rsidR="00ED4F8A" w:rsidRPr="0081463F">
        <w:rPr>
          <w:lang w:val="en-GB"/>
        </w:rPr>
        <w:t>.</w:t>
      </w:r>
    </w:p>
    <w:p w14:paraId="20052218" w14:textId="78F72E76" w:rsidR="00716BE1" w:rsidRDefault="00855A7E" w:rsidP="003E6F2B">
      <w:pPr>
        <w:spacing w:after="0" w:line="360" w:lineRule="auto"/>
        <w:jc w:val="both"/>
        <w:rPr>
          <w:lang w:val="en-GB"/>
        </w:rPr>
      </w:pPr>
      <w:r>
        <w:rPr>
          <w:lang w:val="en-GB"/>
        </w:rPr>
        <w:t xml:space="preserve">Opposite changes were obvious in </w:t>
      </w:r>
      <w:r w:rsidR="00716BE1">
        <w:rPr>
          <w:lang w:val="en-GB"/>
        </w:rPr>
        <w:t>MtF adolescents</w:t>
      </w:r>
      <w:r>
        <w:rPr>
          <w:lang w:val="en-GB"/>
        </w:rPr>
        <w:t xml:space="preserve">, </w:t>
      </w:r>
      <w:r w:rsidRPr="00396886">
        <w:rPr>
          <w:i/>
          <w:lang w:val="en-GB"/>
        </w:rPr>
        <w:t>i.e</w:t>
      </w:r>
      <w:r>
        <w:rPr>
          <w:lang w:val="en-GB"/>
        </w:rPr>
        <w:t>.</w:t>
      </w:r>
      <w:r w:rsidR="00396886">
        <w:rPr>
          <w:lang w:val="en-GB"/>
        </w:rPr>
        <w:t xml:space="preserve"> </w:t>
      </w:r>
      <w:r w:rsidR="00661C4E">
        <w:rPr>
          <w:lang w:val="en-GB"/>
        </w:rPr>
        <w:t xml:space="preserve">lean </w:t>
      </w:r>
      <w:r w:rsidR="00D96325">
        <w:rPr>
          <w:lang w:val="en-GB"/>
        </w:rPr>
        <w:t xml:space="preserve">body </w:t>
      </w:r>
      <w:r w:rsidR="00661C4E">
        <w:rPr>
          <w:lang w:val="en-GB"/>
        </w:rPr>
        <w:t xml:space="preserve">mass </w:t>
      </w:r>
      <w:r>
        <w:rPr>
          <w:lang w:val="en-GB"/>
        </w:rPr>
        <w:t xml:space="preserve">decreased </w:t>
      </w:r>
      <w:r w:rsidR="00661C4E">
        <w:rPr>
          <w:lang w:val="en-GB"/>
        </w:rPr>
        <w:t xml:space="preserve">and </w:t>
      </w:r>
      <w:r w:rsidR="008F1E77">
        <w:rPr>
          <w:lang w:val="en-GB"/>
        </w:rPr>
        <w:t>fat mass</w:t>
      </w:r>
      <w:r>
        <w:rPr>
          <w:lang w:val="en-GB"/>
        </w:rPr>
        <w:t xml:space="preserve"> increased</w:t>
      </w:r>
      <w:r w:rsidR="008F1E77">
        <w:rPr>
          <w:lang w:val="en-GB"/>
        </w:rPr>
        <w:t xml:space="preserve">. </w:t>
      </w:r>
      <w:r>
        <w:rPr>
          <w:lang w:val="en-GB"/>
        </w:rPr>
        <w:t>A</w:t>
      </w:r>
      <w:r w:rsidR="00641EF8">
        <w:rPr>
          <w:lang w:val="en-GB"/>
        </w:rPr>
        <w:t>dult MtF transgenders</w:t>
      </w:r>
      <w:r>
        <w:rPr>
          <w:lang w:val="en-GB"/>
        </w:rPr>
        <w:t xml:space="preserve"> using </w:t>
      </w:r>
      <w:r w:rsidR="00771BD8">
        <w:rPr>
          <w:lang w:val="en-GB"/>
        </w:rPr>
        <w:t>CA</w:t>
      </w:r>
      <w:r>
        <w:rPr>
          <w:lang w:val="en-GB"/>
        </w:rPr>
        <w:t>+E</w:t>
      </w:r>
      <w:r w:rsidR="00396886">
        <w:rPr>
          <w:lang w:val="en-GB"/>
        </w:rPr>
        <w:t xml:space="preserve"> </w:t>
      </w:r>
      <w:r w:rsidR="000E510E">
        <w:rPr>
          <w:lang w:val="en-GB"/>
        </w:rPr>
        <w:t>ha</w:t>
      </w:r>
      <w:r>
        <w:rPr>
          <w:lang w:val="en-GB"/>
        </w:rPr>
        <w:t>ve</w:t>
      </w:r>
      <w:r w:rsidR="000E510E">
        <w:rPr>
          <w:lang w:val="en-GB"/>
        </w:rPr>
        <w:t xml:space="preserve"> a </w:t>
      </w:r>
      <w:r w:rsidR="00641EF8">
        <w:rPr>
          <w:lang w:val="en-GB"/>
        </w:rPr>
        <w:t xml:space="preserve">lower lean mass and higher fat mass than </w:t>
      </w:r>
      <w:r>
        <w:rPr>
          <w:lang w:val="en-GB"/>
        </w:rPr>
        <w:t xml:space="preserve">male </w:t>
      </w:r>
      <w:r w:rsidR="00641EF8">
        <w:rPr>
          <w:lang w:val="en-GB"/>
        </w:rPr>
        <w:t xml:space="preserve">controls </w:t>
      </w:r>
      <w:r w:rsidR="007A3EDC">
        <w:rPr>
          <w:lang w:val="en-GB"/>
        </w:rPr>
        <w:fldChar w:fldCharType="begin" w:fldLock="1"/>
      </w:r>
      <w:r w:rsidR="002C52CA">
        <w:rPr>
          <w:lang w:val="en-GB"/>
        </w:rPr>
        <w:instrText>ADDIN CSL_CITATION { "citationItems" : [ { "id" : "ITEM-1", "itemData" : { "DOI" : "10.1016/j.bone.2008.09.001", "ISBN" : "8756-3282", "ISSN" : "87563282", "PMID" : "18835591", "abstract" : "Context: Male-to-female (M???F) transsexual persons undergo extreme changes in gonadal hormone concentrations, both by pharmacological and surgical interventions. Given the importance of sex steroids for developing and maintaining bone mass, bone health is a matter of concern in daily management of these patients. Objective: To provide data on bone metabolism, geometry and volumetric bone mineral density in M???F transsexual persons. Design/setting/participants: Twenty-three M???F transsexual persons, recruited from our gender dysphoria clinic and at least 3 yrs after sex reassignment surgery, together with 46 healthy age- and height-matched control men were included in this cross-sectional study. Main outcome measures: Body composition, areal and volumetric bone parameters determined using DXA and peripheral quantitative computed tomography. Hormone levels and markers of bone metabolism assessed using immunoassays. Peak torque of biceps and quadriceps muscles and grip strength assessed using an isokinetic and hand dynamometer, respectively. Results: M???F transsexual persons presented lower total and regional muscle mass and lower muscle strength as compared to controls (all P &lt; 0.001). In addition, they had higher total and regional fat mass (P &lt; 0.010) and a lower level of sports-related activity index (P &lt; 0.010). Bone mineral content and areal density (aBMD) of the lumbar spine, total hip and distal radius, as well as trabecular vBMD of the distal radius was lower as compared to controls (P &lt; 0.010). At cortical sites, no differences in cortical vBMD were observed, whereas M???F transsexual persons were characterized by smaller cortical bone size at both the radius and tibia (P &lt; 0.010). Lower levels of biochemical markers of bone formation and resorption (P &lt; 0.010) suggested decreased bone turnover. Conclusion: M???F transsexual persons have less lean mass and muscle strength, and higher fat mass. In addition, they present lower trabecular vBMD and aBMD at the lumbar spine, total hip and distal radius, and smaller cortical bone size as compared to matched controls. Both the lower level of sports-related physical activity as well testosterone deprivation could contribute to these findings. These results indicate that bone health should be a parameter of interest in the long-term follow-up care for M???F transsexual persons. ?? 2008 Elsevier Inc. All rights reserved.", "author" : [ { "dropping-particle" : "", "family" : "Lapauw", "given" : "Bruno", "non-dropping-particle" : "", "parse-names" : false, "suffix" : "" }, { "dropping-particle" : "", "family" : "Taes", "given" : "Youri", "non-dropping-particle" : "", "parse-names" : false, "suffix" : "" }, { "dropping-particle" : "", "family" : "Simoens", "given" : "Steven", "non-dropping-particle" : "", "parse-names" : false, "suffix" : "" }, { "dropping-particle" : "", "family" : "Caenegem", "given" : "Eva", "non-dropping-particle" : "Van", "parse-names" : false, "suffix" : "" }, { "dropping-particle" : "", "family" : "Weyers", "given" : "Steven", "non-dropping-particle" : "", "parse-names" : false, "suffix" : "" }, { "dropping-particle" : "", "family" : "Goemaere", "given" : "Stefan", "non-dropping-particle" : "", "parse-names" : false, "suffix" : "" }, { "dropping-particle" : "", "family" : "Toye", "given" : "Kaatje", "non-dropping-particle" : "", "parse-names" : false, "suffix" : "" }, { "dropping-particle" : "", "family" : "Kaufman", "given" : "Jean Marc", "non-dropping-particle" : "", "parse-names" : false, "suffix" : "" }, { "dropping-particle" : "", "family" : "T'Sjoen", "given" : "Guy G.", "non-dropping-particle" : "", "parse-names" : false, "suffix" : "" } ], "container-title" : "Bone", "id" : "ITEM-1", "issue" : "6", "issued" : { "date-parts" : [ [ "2008" ] ] }, "page" : "1016-1021", "publisher" : "Elsevier Inc.", "title" : "Body composition, volumetric and areal bone parameters in male-to-female transsexual persons", "type" : "article-journal", "volume" : "43" }, "uris" : [ "http://www.mendeley.com/documents/?uuid=f8158266-aab5-4122-9936-2c1101a8fd1e" ] } ], "mendeley" : { "formattedCitation" : "(106)", "plainTextFormattedCitation" : "(106)", "previouslyFormattedCitation" : "(106)" }, "properties" : { "noteIndex" : 0 }, "schema" : "https://github.com/citation-style-language/schema/raw/master/csl-citation.json" }</w:instrText>
      </w:r>
      <w:r w:rsidR="007A3EDC">
        <w:rPr>
          <w:lang w:val="en-GB"/>
        </w:rPr>
        <w:fldChar w:fldCharType="separate"/>
      </w:r>
      <w:r w:rsidR="00C7364E" w:rsidRPr="00C7364E">
        <w:rPr>
          <w:noProof/>
          <w:lang w:val="en-GB"/>
        </w:rPr>
        <w:t>(106)</w:t>
      </w:r>
      <w:r w:rsidR="007A3EDC">
        <w:rPr>
          <w:lang w:val="en-GB"/>
        </w:rPr>
        <w:fldChar w:fldCharType="end"/>
      </w:r>
      <w:r w:rsidR="00641EF8">
        <w:rPr>
          <w:lang w:val="en-GB"/>
        </w:rPr>
        <w:t xml:space="preserve">. </w:t>
      </w:r>
      <w:r>
        <w:rPr>
          <w:lang w:val="en-GB"/>
        </w:rPr>
        <w:t>Similar changes have been observed i</w:t>
      </w:r>
      <w:r w:rsidR="00D96325">
        <w:rPr>
          <w:lang w:val="en-GB"/>
        </w:rPr>
        <w:t>n m</w:t>
      </w:r>
      <w:r w:rsidR="000E510E">
        <w:rPr>
          <w:lang w:val="en-GB"/>
        </w:rPr>
        <w:t xml:space="preserve">en treated for prostate cancer with </w:t>
      </w:r>
      <w:r w:rsidR="00771BD8">
        <w:rPr>
          <w:lang w:val="en-GB"/>
        </w:rPr>
        <w:t xml:space="preserve">GnRHa or </w:t>
      </w:r>
      <w:r>
        <w:rPr>
          <w:lang w:val="en-GB"/>
        </w:rPr>
        <w:t xml:space="preserve">after </w:t>
      </w:r>
      <w:r w:rsidR="00771BD8">
        <w:rPr>
          <w:lang w:val="en-GB"/>
        </w:rPr>
        <w:t>bilateral orchi</w:t>
      </w:r>
      <w:r>
        <w:rPr>
          <w:lang w:val="en-GB"/>
        </w:rPr>
        <w:t>d</w:t>
      </w:r>
      <w:r w:rsidR="00771BD8">
        <w:rPr>
          <w:lang w:val="en-GB"/>
        </w:rPr>
        <w:t>ectomy</w:t>
      </w:r>
      <w:r w:rsidR="00396886">
        <w:rPr>
          <w:lang w:val="en-GB"/>
        </w:rPr>
        <w:t xml:space="preserve"> </w:t>
      </w:r>
      <w:r w:rsidR="007A3EDC">
        <w:rPr>
          <w:lang w:val="en-GB"/>
        </w:rPr>
        <w:fldChar w:fldCharType="begin" w:fldLock="1"/>
      </w:r>
      <w:r w:rsidR="002C52CA">
        <w:rPr>
          <w:lang w:val="en-GB"/>
        </w:rPr>
        <w:instrText>ADDIN CSL_CITATION { "citationItems" : [ { "id" : "ITEM-1", "itemData" : { "DOI" : "10.4111/kju.2015.56.1.12", "ISSN" : "20056745", "PMID" : "25598932", "abstract" : "The therapeutic effects and side effects of androgen deprivation therapy (ADT), which is a main treatment method for metastatic prostate cancer, are well known, but the metabolic effects have only recently been studied. This review describes the effects of ADT on body habitus, insulin resistance, lipid profiles, diabetes, metabolic syndrome, and cardiovascular morbidity and mortality. The review was done by using KoreaMed and PubMed to search the medical literature related to prostate cancer, ADT, body habitus, lipid profile, diabetes, insulin resistance, metabolic syndrome, and cardiovascular disease. ADT increases fat mass and decreases lean body mass. Fat mostly accumulates in the subcutaneous area. ADT increases total cholesterol, triglycerides, and high-density lipoprotein, as well as the risk for insulin resistance and diabetes. ADT also increases the risk for cardiovascular events, but insufficient evidence is available for a correlation with mortality. ADT changes body habitus and lipid profiles and has different characteristics than those of classic metabolic syndrome, but it is related to insulin resistance and diabetes. ADT increases the risk for cardiovascular events. No consistent guidelines have been proposed for treating the metabolic effects of ADT, but the generally recommended treatment methods for lowering the risk of diabetes and cardiovascular disease should be fully understood. Additional studies are necessary.", "author" : [ { "dropping-particle" : "", "family" : "Choi", "given" : "See Min", "non-dropping-particle" : "", "parse-names" : false, "suffix" : "" }, { "dropping-particle" : "", "family" : "Kam", "given" : "Sung Chul", "non-dropping-particle" : "", "parse-names" : false, "suffix" : "" } ], "container-title" : "Korean Journal of Urology", "id" : "ITEM-1", "issue" : "1", "issued" : { "date-parts" : [ [ "2015" ] ] }, "page" : "12-18", "title" : "Metabolic effects of androgen deprivation therapy", "type" : "article-journal", "volume" : "56" }, "uris" : [ "http://www.mendeley.com/documents/?uuid=9031990d-c8bd-4af7-8c6f-5b058d534a41" ] } ], "mendeley" : { "formattedCitation" : "(107)", "plainTextFormattedCitation" : "(107)", "previouslyFormattedCitation" : "(107)" }, "properties" : { "noteIndex" : 0 }, "schema" : "https://github.com/citation-style-language/schema/raw/master/csl-citation.json" }</w:instrText>
      </w:r>
      <w:r w:rsidR="007A3EDC">
        <w:rPr>
          <w:lang w:val="en-GB"/>
        </w:rPr>
        <w:fldChar w:fldCharType="separate"/>
      </w:r>
      <w:r w:rsidR="00C7364E" w:rsidRPr="00C7364E">
        <w:rPr>
          <w:noProof/>
          <w:lang w:val="en-GB"/>
        </w:rPr>
        <w:t>(107)</w:t>
      </w:r>
      <w:r w:rsidR="007A3EDC">
        <w:rPr>
          <w:lang w:val="en-GB"/>
        </w:rPr>
        <w:fldChar w:fldCharType="end"/>
      </w:r>
      <w:r w:rsidR="000E2917">
        <w:rPr>
          <w:lang w:val="en-GB"/>
        </w:rPr>
        <w:t xml:space="preserve">. </w:t>
      </w:r>
      <w:r w:rsidR="000E510E">
        <w:rPr>
          <w:lang w:val="en-GB"/>
        </w:rPr>
        <w:t>In our study</w:t>
      </w:r>
      <w:r w:rsidR="00D96325">
        <w:rPr>
          <w:lang w:val="en-GB"/>
        </w:rPr>
        <w:t xml:space="preserve">, </w:t>
      </w:r>
      <w:r w:rsidR="0038591C">
        <w:rPr>
          <w:lang w:val="en-GB"/>
        </w:rPr>
        <w:t xml:space="preserve">grip strength did not </w:t>
      </w:r>
      <w:r>
        <w:rPr>
          <w:lang w:val="en-GB"/>
        </w:rPr>
        <w:t xml:space="preserve">diminish </w:t>
      </w:r>
      <w:r w:rsidR="0038591C">
        <w:rPr>
          <w:lang w:val="en-GB"/>
        </w:rPr>
        <w:t>(yet)</w:t>
      </w:r>
      <w:r w:rsidR="003E6F2B">
        <w:rPr>
          <w:lang w:val="en-GB"/>
        </w:rPr>
        <w:t>, but muscle area at the radius and tibia</w:t>
      </w:r>
      <w:r w:rsidR="00D52A4E">
        <w:rPr>
          <w:lang w:val="en-GB"/>
        </w:rPr>
        <w:t xml:space="preserve"> did</w:t>
      </w:r>
      <w:r w:rsidR="004A5FC6">
        <w:rPr>
          <w:lang w:val="en-GB"/>
        </w:rPr>
        <w:t>.</w:t>
      </w:r>
      <w:r w:rsidR="000E510E">
        <w:rPr>
          <w:lang w:val="en-GB"/>
        </w:rPr>
        <w:t xml:space="preserve"> </w:t>
      </w:r>
      <w:r w:rsidR="0038591C">
        <w:rPr>
          <w:lang w:val="en-GB"/>
        </w:rPr>
        <w:t xml:space="preserve">Prospective studies </w:t>
      </w:r>
      <w:r w:rsidR="004A5FC6">
        <w:rPr>
          <w:lang w:val="en-GB"/>
        </w:rPr>
        <w:t xml:space="preserve">of longer duration and inclusion of controls are </w:t>
      </w:r>
      <w:r w:rsidR="0038591C">
        <w:rPr>
          <w:lang w:val="en-GB"/>
        </w:rPr>
        <w:t xml:space="preserve">needed to clarify whether </w:t>
      </w:r>
      <w:r w:rsidR="004A5FC6">
        <w:rPr>
          <w:lang w:val="en-GB"/>
        </w:rPr>
        <w:t xml:space="preserve">prolonged </w:t>
      </w:r>
      <w:r w:rsidR="0038591C">
        <w:rPr>
          <w:lang w:val="en-GB"/>
        </w:rPr>
        <w:t xml:space="preserve">treatment </w:t>
      </w:r>
      <w:r w:rsidR="004A5FC6">
        <w:rPr>
          <w:lang w:val="en-GB"/>
        </w:rPr>
        <w:t>would re</w:t>
      </w:r>
      <w:r w:rsidR="00C24208">
        <w:rPr>
          <w:lang w:val="en-GB"/>
        </w:rPr>
        <w:t>sult in more pronounced effects</w:t>
      </w:r>
      <w:r w:rsidR="0038591C">
        <w:rPr>
          <w:lang w:val="en-GB"/>
        </w:rPr>
        <w:t xml:space="preserve"> or </w:t>
      </w:r>
      <w:r w:rsidR="004A5FC6">
        <w:rPr>
          <w:lang w:val="en-GB"/>
        </w:rPr>
        <w:t>whether our findings are indeed of clinical relevance due to the fact that</w:t>
      </w:r>
      <w:r w:rsidR="0038591C">
        <w:rPr>
          <w:lang w:val="en-GB"/>
        </w:rPr>
        <w:t xml:space="preserve"> body musculature in adolescents is no</w:t>
      </w:r>
      <w:r w:rsidR="005315C9">
        <w:rPr>
          <w:lang w:val="en-GB"/>
        </w:rPr>
        <w:t>rmally increasing at th</w:t>
      </w:r>
      <w:r w:rsidR="004A5FC6">
        <w:rPr>
          <w:lang w:val="en-GB"/>
        </w:rPr>
        <w:t>is</w:t>
      </w:r>
      <w:r w:rsidR="005315C9">
        <w:rPr>
          <w:lang w:val="en-GB"/>
        </w:rPr>
        <w:t xml:space="preserve"> age</w:t>
      </w:r>
      <w:r w:rsidR="0038591C">
        <w:rPr>
          <w:lang w:val="en-GB"/>
        </w:rPr>
        <w:t xml:space="preserve">. </w:t>
      </w:r>
      <w:r w:rsidR="004A5FC6">
        <w:rPr>
          <w:lang w:val="en-GB"/>
        </w:rPr>
        <w:t xml:space="preserve">Interestingly, </w:t>
      </w:r>
      <w:r w:rsidR="003860FB">
        <w:rPr>
          <w:lang w:val="en-GB"/>
        </w:rPr>
        <w:t>waist/hip ratio significantly increase</w:t>
      </w:r>
      <w:r w:rsidR="004A5FC6">
        <w:rPr>
          <w:lang w:val="en-GB"/>
        </w:rPr>
        <w:t>d</w:t>
      </w:r>
      <w:r w:rsidR="003860FB">
        <w:rPr>
          <w:lang w:val="en-GB"/>
        </w:rPr>
        <w:t>, due to a decrease</w:t>
      </w:r>
      <w:r w:rsidR="003E6F2B">
        <w:rPr>
          <w:lang w:val="en-GB"/>
        </w:rPr>
        <w:t>d</w:t>
      </w:r>
      <w:r w:rsidR="003860FB">
        <w:rPr>
          <w:lang w:val="en-GB"/>
        </w:rPr>
        <w:t xml:space="preserve"> waist circumference, indicating a more female fat distribution</w:t>
      </w:r>
      <w:r w:rsidR="004A5FC6">
        <w:rPr>
          <w:lang w:val="en-GB"/>
        </w:rPr>
        <w:t xml:space="preserve"> in CA users</w:t>
      </w:r>
      <w:r w:rsidR="003860FB">
        <w:rPr>
          <w:lang w:val="en-GB"/>
        </w:rPr>
        <w:t xml:space="preserve"> </w:t>
      </w:r>
      <w:r w:rsidR="003860FB">
        <w:rPr>
          <w:lang w:val="en-GB"/>
        </w:rPr>
        <w:fldChar w:fldCharType="begin" w:fldLock="1"/>
      </w:r>
      <w:r w:rsidR="002C52CA">
        <w:rPr>
          <w:lang w:val="en-GB"/>
        </w:rPr>
        <w:instrText>ADDIN CSL_CITATION { "citationItems" : [ { "id" : "ITEM-1", "itemData" : { "DOI" : "10.1007/s00431-004-1586-7", "ISSN" : "0340-6199", "PMID" : "15662504", "abstract" : "UNLABELLED: The aim of this study was to present age references for waist circumference (WC), hip circumference (HC), and waist/hip ratio (WHR) in Dutch children. Cross-sectional data were obtained from 14,500 children of Dutch origin in the age range 0-21 years. National references were constructed with the LMS method. This method summarises the distribution by three smooth curves representing skewness (L curve), the median (M curve), and coefficient of variation (S curve). The correlations between body mass index-standard deviation score (BMI-SDS), the circumferences and their ratio, and demographic variables were assessed by (multiple) regression analysis for three age groups: 0-&lt;5 years (1), 5-&lt;12.5 years (2), and 12.5-&lt;21 years (3). A cut-off for clinical use was suggested based on the International Obesity Task Force criteria for BMI. Mean WC and HC values increased with age. Mean WC was slightly higher in boys than in girls, and this difference was statistically significant from 11 years of age onwards. In contrast, HC was significantly higher in girls than in boys from 9 years onwards. The correlation between WC-SDS and BMI-SDS ( r =0.73, P &lt;0.01) and between HC and BMI-SDS ( r =0.67, P &lt;0.01) increased with age. With regard to WHR-SDS, a low correlation was found for 12.5-20 years of age ( r =0.2, P &lt;0.01). WC-SDS correlated positively with height SDS ( r =0.35, P &lt;0.01).\n\nCONCLUSION: Waist circumferences can be used to screen for increased abdominal fat mass in children, whereby a cut-off point of 1.3 standard deviation score seems most suitable.", "author" : [ { "dropping-particle" : "", "family" : "Fredriks", "given" : "A Miranda", "non-dropping-particle" : "", "parse-names" : false, "suffix" : "" }, { "dropping-particle" : "", "family" : "Buuren", "given" : "Stef", "non-dropping-particle" : "van", "parse-names" : false, "suffix" : "" }, { "dropping-particle" : "", "family" : "Fekkes", "given" : "Minne", "non-dropping-particle" : "", "parse-names" : false, "suffix" : "" }, { "dropping-particle" : "", "family" : "Verloove-Vanhorick", "given" : "S Pauline", "non-dropping-particle" : "", "parse-names" : false, "suffix" : "" }, { "dropping-particle" : "", "family" : "Wit", "given" : "Jan Maarten", "non-dropping-particle" : "", "parse-names" : false, "suffix" : "" } ], "container-title" : "European journal of pediatrics", "id" : "ITEM-1", "issue" : "4", "issued" : { "date-parts" : [ [ "2005", "4" ] ] }, "page" : "216-22", "title" : "Are age references for waist circumference, hip circumference and waist-hip ratio in Dutch children useful in clinical practice?", "type" : "article-journal", "volume" : "164" }, "uris" : [ "http://www.mendeley.com/documents/?uuid=477b7efd-48f1-4658-b9b1-dde84974b440" ] } ], "mendeley" : { "formattedCitation" : "(108)", "plainTextFormattedCitation" : "(108)", "previouslyFormattedCitation" : "(108)" }, "properties" : { "noteIndex" : 0 }, "schema" : "https://github.com/citation-style-language/schema/raw/master/csl-citation.json" }</w:instrText>
      </w:r>
      <w:r w:rsidR="003860FB">
        <w:rPr>
          <w:lang w:val="en-GB"/>
        </w:rPr>
        <w:fldChar w:fldCharType="separate"/>
      </w:r>
      <w:r w:rsidR="00C7364E" w:rsidRPr="00C7364E">
        <w:rPr>
          <w:noProof/>
          <w:lang w:val="en-GB"/>
        </w:rPr>
        <w:t>(108)</w:t>
      </w:r>
      <w:r w:rsidR="003860FB">
        <w:rPr>
          <w:lang w:val="en-GB"/>
        </w:rPr>
        <w:fldChar w:fldCharType="end"/>
      </w:r>
      <w:r w:rsidR="003860FB">
        <w:rPr>
          <w:lang w:val="en-GB"/>
        </w:rPr>
        <w:t>.</w:t>
      </w:r>
    </w:p>
    <w:p w14:paraId="7FF9B6D3" w14:textId="03F237B8" w:rsidR="00716BE1" w:rsidRDefault="009B05F2" w:rsidP="003E6F2B">
      <w:pPr>
        <w:spacing w:after="0" w:line="360" w:lineRule="auto"/>
        <w:jc w:val="both"/>
        <w:rPr>
          <w:lang w:val="en-GB"/>
        </w:rPr>
      </w:pPr>
      <w:r>
        <w:rPr>
          <w:lang w:val="en-GB"/>
        </w:rPr>
        <w:t>Of note</w:t>
      </w:r>
      <w:r w:rsidR="00E678C5">
        <w:rPr>
          <w:lang w:val="en-GB"/>
        </w:rPr>
        <w:t>, a</w:t>
      </w:r>
      <w:r w:rsidR="00716BE1">
        <w:rPr>
          <w:lang w:val="en-GB"/>
        </w:rPr>
        <w:t xml:space="preserve">ll body composition </w:t>
      </w:r>
      <w:r>
        <w:rPr>
          <w:lang w:val="en-GB"/>
        </w:rPr>
        <w:t xml:space="preserve">changes in </w:t>
      </w:r>
      <w:r w:rsidR="00E678C5">
        <w:rPr>
          <w:lang w:val="en-GB"/>
        </w:rPr>
        <w:t xml:space="preserve">both patient groups </w:t>
      </w:r>
      <w:r w:rsidR="00716BE1">
        <w:rPr>
          <w:lang w:val="en-GB"/>
        </w:rPr>
        <w:t xml:space="preserve">occurred </w:t>
      </w:r>
      <w:r w:rsidR="00E678C5">
        <w:rPr>
          <w:lang w:val="en-GB"/>
        </w:rPr>
        <w:t>in less than one year of treatment</w:t>
      </w:r>
      <w:r w:rsidR="00661C4E">
        <w:rPr>
          <w:lang w:val="en-GB"/>
        </w:rPr>
        <w:t>.</w:t>
      </w:r>
    </w:p>
    <w:p w14:paraId="6AC6A647" w14:textId="2879C942" w:rsidR="00C3339C" w:rsidRDefault="00C3339C" w:rsidP="00C3339C">
      <w:pPr>
        <w:pStyle w:val="Kop3"/>
        <w:rPr>
          <w:lang w:val="en-GB"/>
        </w:rPr>
      </w:pPr>
      <w:bookmarkStart w:id="68" w:name="_Toc451961524"/>
      <w:r>
        <w:rPr>
          <w:lang w:val="en-GB"/>
        </w:rPr>
        <w:t>Lab results</w:t>
      </w:r>
      <w:bookmarkEnd w:id="68"/>
    </w:p>
    <w:p w14:paraId="29E7C121" w14:textId="76152AA2" w:rsidR="009C5D00" w:rsidRDefault="009C5D00" w:rsidP="003E6F2B">
      <w:pPr>
        <w:spacing w:after="0" w:line="360" w:lineRule="auto"/>
        <w:jc w:val="both"/>
        <w:rPr>
          <w:lang w:val="en-GB"/>
        </w:rPr>
      </w:pPr>
      <w:r>
        <w:rPr>
          <w:lang w:val="en-GB"/>
        </w:rPr>
        <w:t xml:space="preserve">P1NP </w:t>
      </w:r>
      <w:r w:rsidR="00C577A0">
        <w:rPr>
          <w:lang w:val="en-GB"/>
        </w:rPr>
        <w:t>an</w:t>
      </w:r>
      <w:r w:rsidR="001B37AB">
        <w:rPr>
          <w:lang w:val="en-GB"/>
        </w:rPr>
        <w:t>d</w:t>
      </w:r>
      <w:r w:rsidR="00C577A0">
        <w:rPr>
          <w:lang w:val="en-GB"/>
        </w:rPr>
        <w:t xml:space="preserve"> </w:t>
      </w:r>
      <w:r w:rsidR="001B37AB">
        <w:rPr>
          <w:lang w:val="en-GB"/>
        </w:rPr>
        <w:t>DP1 levels normally decline after Tanner B3/G3, similar to what has been observed here</w:t>
      </w:r>
      <w:r w:rsidR="009B05F2">
        <w:rPr>
          <w:lang w:val="en-GB"/>
        </w:rPr>
        <w:t>. Thererfore</w:t>
      </w:r>
      <w:r w:rsidR="001B37AB">
        <w:rPr>
          <w:lang w:val="en-GB"/>
        </w:rPr>
        <w:t>, these parameters were not helpful in documenting eventual treatment-induced changes in bone-turnover</w:t>
      </w:r>
      <w:r w:rsidR="00B0098C">
        <w:rPr>
          <w:lang w:val="en-GB"/>
        </w:rPr>
        <w:t xml:space="preserve"> </w:t>
      </w:r>
      <w:r w:rsidR="00C577A0">
        <w:rPr>
          <w:lang w:val="en-GB"/>
        </w:rPr>
        <w:fldChar w:fldCharType="begin" w:fldLock="1"/>
      </w:r>
      <w:r w:rsidR="002C52CA">
        <w:rPr>
          <w:lang w:val="en-GB"/>
        </w:rPr>
        <w:instrText>ADDIN CSL_CITATION { "citationItems" : [ { "id" : "ITEM-1", "itemData" : { "DOI" : "10.1007/s00198-013-2485-4", "ISSN" : "14332965", "PMID" : "23974858", "abstract" : "UNLABELLED: The aim of this study was to assess the relationships between both a marker of bone formation and a marker of bone turnover and age, sex, and pubertal stage in a group (n\u2009=\u2009439) of healthy children and adolescents. These reference data should be instrumental in interpretation of results.\\n\\nINTRODUCTION: The skeletal system has high metabolic activity. In children, bone markers may be useful in diagnostics and treatment management of skeletal diseases but there could be difficulties with interpretation of results. Compared with adults, children have elevated bone marker levels due to high skeletal growth velocity and rapid bone turnover. Thus, valid age- and sex-specific reference data should be obtained for each pediatric population living in a particular climate and with a similar lifestyle. The aim of this study was to assess the relationships between both a marker of bone formation (procollagen type I N-terminal propeptide [PINP]) and a marker of bone turnover (osteocalcin [OC]) and age, sex, and pubertal stage in a group of healthy children and adolescents.\\n\\nMETHODS: Four hundred thirty-nine healthy Caucasian children participated. Their height, weight, and pubertal stage were recorded. Fasting PINP and OC were measured using a morning blood sample.\\n\\nRESULTS: The highest levels of PINP were observed during the first year of life. There is no OC postnatal peak, but levels are higher than the adult reference interval throughout childhood. OC peaks with the pubertal growth spurt at second-third Tanner stage of breast development in girls and at second-third Tanner stage of genital development in boys. PINP peaks during second-third Tanner stage of breast development in girls and at third Tanner stage of genital development in boys.\\n\\nCONCLUSION: This study provides reference data for OC and PINP in healthy Caucasian children from a Central European population.", "author" : [ { "dropping-particle" : "", "family" : "Bayer", "given" : "M.", "non-dropping-particle" : "", "parse-names" : false, "suffix" : "" } ], "container-title" : "Osteoporosis International", "id" : "ITEM-1", "issue" : "2", "issued" : { "date-parts" : [ [ "2014" ] ] }, "note" : "referentie P1NP", "page" : "729-736", "title" : "Reference values of osteocalcin and procollagen type I N-propeptide plasma levels in a healthy Central European population aged 0-18 years", "type" : "article-journal", "volume" : "25" }, "uris" : [ "http://www.mendeley.com/documents/?uuid=91a8f0a3-1707-4c98-aa68-867811ee609d" ] }, { "id" : "ITEM-2", "itemData" : { "DOI" : "10.1210/jc.2006-1706", "ISBN" : "0021-972X (Print)", "ISSN" : "0021972X", "PMID" : "17105843", "abstract" : "This study aimed to establish sex- and age-specific reference curves enabling the calculation of z-scores and to examine correlations between bone markers and anthropometric data.", "author" : [ { "dropping-particle" : "", "family" : "Rauchenzauner", "given" : "Markus", "non-dropping-particle" : "", "parse-names" : false, "suffix" : "" }, { "dropping-particle" : "", "family" : "Schmid", "given" : "Andrea", "non-dropping-particle" : "", "parse-names" : false, "suffix" : "" }, { "dropping-particle" : "", "family" : "Heinz-Erian", "given" : "Peter", "non-dropping-particle" : "", "parse-names" : false, "suffix" : "" }, { "dropping-particle" : "", "family" : "Kapelari", "given" : "Klaus", "non-dropping-particle" : "", "parse-names" : false, "suffix" : "" }, { "dropping-particle" : "", "family" : "Falkensammer", "given" : "Gerda", "non-dropping-particle" : "", "parse-names" : false, "suffix" : "" }, { "dropping-particle" : "", "family" : "Griesmacher", "given" : "Andrea", "non-dropping-particle" : "", "parse-names" : false, "suffix" : "" }, { "dropping-particle" : "", "family" : "Finkenstedt", "given" : "Gerd", "non-dropping-particle" : "", "parse-names" : false, "suffix" : "" }, { "dropping-particle" : "", "family" : "H\u00f6gler", "given" : "Wolfgang", "non-dropping-particle" : "", "parse-names" : false, "suffix" : "" } ], "container-title" : "Journal of Clinical Endocrinology and Metabolism", "id" : "ITEM-2", "issue" : "2", "issued" : { "date-parts" : [ [ "2007" ] ] }, "note" : "referentie DP1", "page" : "443-449", "title" : "Sex- and age-specific reference curves for serum markers of bone turnover in healthy children from 2 months to 18 years", "type" : "article-journal", "volume" : "92" }, "uris" : [ "http://www.mendeley.com/documents/?uuid=9ad56708-98bd-44b0-8998-d580f90f54d0" ] } ], "mendeley" : { "formattedCitation" : "(109,110)", "plainTextFormattedCitation" : "(109,110)", "previouslyFormattedCitation" : "(109,110)" }, "properties" : { "noteIndex" : 0 }, "schema" : "https://github.com/citation-style-language/schema/raw/master/csl-citation.json" }</w:instrText>
      </w:r>
      <w:r w:rsidR="00C577A0">
        <w:rPr>
          <w:lang w:val="en-GB"/>
        </w:rPr>
        <w:fldChar w:fldCharType="separate"/>
      </w:r>
      <w:r w:rsidR="00C7364E" w:rsidRPr="00C7364E">
        <w:rPr>
          <w:noProof/>
          <w:lang w:val="en-GB"/>
        </w:rPr>
        <w:t>(109,110)</w:t>
      </w:r>
      <w:r w:rsidR="00C577A0">
        <w:rPr>
          <w:lang w:val="en-GB"/>
        </w:rPr>
        <w:fldChar w:fldCharType="end"/>
      </w:r>
      <w:r w:rsidR="00FB5B57">
        <w:rPr>
          <w:lang w:val="en-GB"/>
        </w:rPr>
        <w:t xml:space="preserve">. </w:t>
      </w:r>
    </w:p>
    <w:p w14:paraId="769B1F7D" w14:textId="1546F04A" w:rsidR="00C3339C" w:rsidRDefault="00C3339C" w:rsidP="00C3339C">
      <w:pPr>
        <w:pStyle w:val="Kop3"/>
        <w:rPr>
          <w:lang w:val="en-GB"/>
        </w:rPr>
      </w:pPr>
      <w:bookmarkStart w:id="69" w:name="_Toc451961525"/>
      <w:r>
        <w:rPr>
          <w:lang w:val="en-GB"/>
        </w:rPr>
        <w:lastRenderedPageBreak/>
        <w:t>Bone (DXA)</w:t>
      </w:r>
      <w:bookmarkEnd w:id="69"/>
    </w:p>
    <w:p w14:paraId="0F481798" w14:textId="372CFB69" w:rsidR="00A76D73" w:rsidRDefault="009A0570" w:rsidP="003E6F2B">
      <w:pPr>
        <w:spacing w:after="0" w:line="360" w:lineRule="auto"/>
        <w:jc w:val="both"/>
        <w:rPr>
          <w:lang w:val="en-GB"/>
        </w:rPr>
      </w:pPr>
      <w:r>
        <w:rPr>
          <w:lang w:val="en-GB"/>
        </w:rPr>
        <w:t xml:space="preserve">FtM </w:t>
      </w:r>
      <w:r w:rsidR="00C577A0">
        <w:rPr>
          <w:lang w:val="en-GB"/>
        </w:rPr>
        <w:t>trans</w:t>
      </w:r>
      <w:r w:rsidR="002E31BF">
        <w:rPr>
          <w:lang w:val="en-GB"/>
        </w:rPr>
        <w:t>gender</w:t>
      </w:r>
      <w:r w:rsidR="00C577A0">
        <w:rPr>
          <w:lang w:val="en-GB"/>
        </w:rPr>
        <w:t xml:space="preserve"> </w:t>
      </w:r>
      <w:r>
        <w:rPr>
          <w:lang w:val="en-GB"/>
        </w:rPr>
        <w:t xml:space="preserve">adolescents </w:t>
      </w:r>
      <w:r w:rsidR="00140F8F">
        <w:rPr>
          <w:lang w:val="en-GB"/>
        </w:rPr>
        <w:t>had similar</w:t>
      </w:r>
      <w:r w:rsidR="009D4F16">
        <w:rPr>
          <w:lang w:val="en-GB"/>
        </w:rPr>
        <w:t xml:space="preserve"> increases in</w:t>
      </w:r>
      <w:r w:rsidR="00140F8F">
        <w:rPr>
          <w:lang w:val="en-GB"/>
        </w:rPr>
        <w:t xml:space="preserve"> </w:t>
      </w:r>
      <w:r w:rsidR="00714009">
        <w:rPr>
          <w:lang w:val="en-GB"/>
        </w:rPr>
        <w:t>a</w:t>
      </w:r>
      <w:r w:rsidR="009D4F16">
        <w:rPr>
          <w:lang w:val="en-GB"/>
        </w:rPr>
        <w:t xml:space="preserve">BMD </w:t>
      </w:r>
      <w:r w:rsidR="00267435">
        <w:rPr>
          <w:lang w:val="en-GB"/>
        </w:rPr>
        <w:t xml:space="preserve">at all sites </w:t>
      </w:r>
      <w:r w:rsidR="009D4F16">
        <w:rPr>
          <w:lang w:val="en-GB"/>
        </w:rPr>
        <w:t>as</w:t>
      </w:r>
      <w:r>
        <w:rPr>
          <w:lang w:val="en-GB"/>
        </w:rPr>
        <w:t xml:space="preserve"> their age-matched female peers</w:t>
      </w:r>
      <w:r w:rsidR="009D4F16">
        <w:rPr>
          <w:lang w:val="en-GB"/>
        </w:rPr>
        <w:t>,</w:t>
      </w:r>
      <w:r>
        <w:rPr>
          <w:lang w:val="en-GB"/>
        </w:rPr>
        <w:t xml:space="preserve"> indicat</w:t>
      </w:r>
      <w:r w:rsidR="004C4CDD">
        <w:rPr>
          <w:lang w:val="en-GB"/>
        </w:rPr>
        <w:t>ing</w:t>
      </w:r>
      <w:r>
        <w:rPr>
          <w:lang w:val="en-GB"/>
        </w:rPr>
        <w:t xml:space="preserve"> that</w:t>
      </w:r>
      <w:r w:rsidR="001B37AB">
        <w:rPr>
          <w:lang w:val="en-GB"/>
        </w:rPr>
        <w:t xml:space="preserve">, in contrast to GnRH, </w:t>
      </w:r>
      <w:r>
        <w:rPr>
          <w:lang w:val="en-GB"/>
        </w:rPr>
        <w:t xml:space="preserve">L </w:t>
      </w:r>
      <w:r w:rsidR="001B37AB">
        <w:rPr>
          <w:lang w:val="en-GB"/>
        </w:rPr>
        <w:t xml:space="preserve">for approximately 12 months </w:t>
      </w:r>
      <w:r>
        <w:rPr>
          <w:lang w:val="en-GB"/>
        </w:rPr>
        <w:t>d</w:t>
      </w:r>
      <w:r w:rsidR="001B37AB">
        <w:rPr>
          <w:lang w:val="en-GB"/>
        </w:rPr>
        <w:t xml:space="preserve">oes </w:t>
      </w:r>
      <w:r>
        <w:rPr>
          <w:lang w:val="en-GB"/>
        </w:rPr>
        <w:t xml:space="preserve">not negatively impact </w:t>
      </w:r>
      <w:r w:rsidR="001B37AB">
        <w:rPr>
          <w:lang w:val="en-GB"/>
        </w:rPr>
        <w:t xml:space="preserve">on </w:t>
      </w:r>
      <w:r>
        <w:rPr>
          <w:lang w:val="en-GB"/>
        </w:rPr>
        <w:t xml:space="preserve">bone </w:t>
      </w:r>
      <w:r w:rsidR="00D2122B">
        <w:rPr>
          <w:lang w:val="en-GB"/>
        </w:rPr>
        <w:t>mass accrual</w:t>
      </w:r>
      <w:r>
        <w:rPr>
          <w:lang w:val="en-GB"/>
        </w:rPr>
        <w:t xml:space="preserve">. </w:t>
      </w:r>
      <w:r w:rsidR="00360C0E">
        <w:rPr>
          <w:lang w:val="en-GB"/>
        </w:rPr>
        <w:t>Many studies have evaluated the effects of progestin only contraceptives</w:t>
      </w:r>
      <w:r w:rsidR="001B37AB">
        <w:rPr>
          <w:lang w:val="en-GB"/>
        </w:rPr>
        <w:t>, mostly depot medroxyprogesterone acetate</w:t>
      </w:r>
      <w:r w:rsidR="00360C0E">
        <w:rPr>
          <w:lang w:val="en-GB"/>
        </w:rPr>
        <w:t xml:space="preserve"> on bone development</w:t>
      </w:r>
      <w:r w:rsidR="00F27F13">
        <w:rPr>
          <w:lang w:val="en-GB"/>
        </w:rPr>
        <w:t xml:space="preserve">. These studies revealed that </w:t>
      </w:r>
      <w:r w:rsidR="001B37AB">
        <w:rPr>
          <w:lang w:val="en-GB"/>
        </w:rPr>
        <w:t xml:space="preserve">depot medroxyprogesterone acetate </w:t>
      </w:r>
      <w:r w:rsidR="00F27F13">
        <w:rPr>
          <w:lang w:val="en-GB"/>
        </w:rPr>
        <w:t>can have a negative impact on BMD</w:t>
      </w:r>
      <w:r w:rsidR="00784D89">
        <w:rPr>
          <w:lang w:val="en-GB"/>
        </w:rPr>
        <w:t xml:space="preserve"> in adults, but this effect is thought to be reversible</w:t>
      </w:r>
      <w:r w:rsidR="00F27F13">
        <w:rPr>
          <w:lang w:val="en-GB"/>
        </w:rPr>
        <w:t xml:space="preserve"> </w:t>
      </w:r>
      <w:r w:rsidR="00784D89">
        <w:rPr>
          <w:lang w:val="en-GB"/>
        </w:rPr>
        <w:t xml:space="preserve">after cessation </w:t>
      </w:r>
      <w:r w:rsidR="007A3EDC">
        <w:rPr>
          <w:lang w:val="en-GB"/>
        </w:rPr>
        <w:fldChar w:fldCharType="begin" w:fldLock="1"/>
      </w:r>
      <w:r w:rsidR="002C52CA">
        <w:rPr>
          <w:lang w:val="en-GB"/>
        </w:rPr>
        <w:instrText>ADDIN CSL_CITATION { "citationItems" : [ { "id" : "ITEM-1", "itemData" : { "DOI" : "10.1016/S0010-7824(98)00125-5", "ISSN" : "00107824", "PMID" : "10095971", "abstract" : "The bone density (BD) of 72 women using depot-medroxyprogesterone acetate (DMPA) for at least 1 year was compared with that of 64 women who were not users of hormonal contraceptives. The BD of lumbar spine, femoral neck, Ward's triangle, and trochanter was measured by dual energy X-ray absorptiometry (DEXA-LUNAR DPX). Estradiol (E\n                        2) concentrations were measured by radioimmunoassay (RIA). The mean age of DMPA users and nonusers was 31.8 and 31.1 years, respectively. Mean E\n                        2 was 55.7 pg/mL for users and 149.9 pg/mL for controls (p&lt;0.001). The BD was significantly lower for DMPA users than for controls in all sites (p&lt;0.01). In addition, young adult T-scores in the lumbar spine were significantly lower among DMPA users than in controls (p&lt;0.01). Differences were maintained in a subsample of 47 women per group, paired by age and body mass index (BMI). Multiple regression analysis showed that older age, lower BMI, and longer amenorrhea were associated with lower BD in the femoral neck, whereas lower BMI and use of DMPA were associated with lower BD in the lumbar spine.", "author" : [ { "dropping-particle" : "", "family" : "Paiva", "given" : "L\u00facia Costa", "non-dropping-particle" : "", "parse-names" : false, "suffix" : "" }, { "dropping-particle" : "", "family" : "Pinto-Neto", "given" : "Aar\u00e3o Mendes", "non-dropping-particle" : "", "parse-names" : false, "suffix" : "" }, { "dropping-particle" : "", "family" : "Faundes", "given" : "Anibal", "non-dropping-particle" : "", "parse-names" : false, "suffix" : "" } ], "container-title" : "Contraception", "id" : "ITEM-1", "issue" : "6", "issued" : { "date-parts" : [ [ "1998" ] ] }, "page" : "351-355", "title" : "Bone density among long-term users of medroxyprogesterone acetate as a contraceptive", "type" : "article-journal", "volume" : "58" }, "uris" : [ "http://www.mendeley.com/documents/?uuid=dac9b4e5-31f4-4ca3-a442-37814d6f5de8" ] }, { "id" : "ITEM-2", "itemData" : { "DOI" : "10.1016/j.contraception.2007.08.010", "ISSN" : "00107824", "PMID" : "18061699", "abstract" : "Background: Women using injectable progestin contraceptives (IPCs) have lower bone mineral density than nonusers. We assessed whether bone loss is completely reversible after cessation of IPC use, whether different IPCs have different effects and whether effects vary by age at first use. Study Design: In a cross-sectional study in Cape Town, South Africa, 3487 premenopausal black and mixed race women aged 18-44 years were interviewed for information on contraceptive history and risk factors for decreased bone mineral density, and ultrasound measurements of the left calcaneus were taken. Adjusted means of the ultrasound measures for categories of IPC use were obtained using multivariable linear regression. Results: Current users of IPCs had the lowest ultrasound measures, while the measures of women who had ceased IPC use at least 2-3 years previously were similar to or greater than those of never users of IPCs. The effects of depot medroxyprogesterone acetate and norethisterone enanthate were similar. The calcaneus measures were unrelated to age at which use began after control for confounding factors. Conclusion: The data suggest that bone loss during IPC use is reversible and that this loss of bone is completely recovered several years after cessation of use. \u00a9 2007.", "author" : [ { "dropping-particle" : "", "family" : "Rosenberg", "given" : "Lynn", "non-dropping-particle" : "", "parse-names" : false, "suffix" : "" }, { "dropping-particle" : "", "family" : "Zhang", "given" : "Yuqing", "non-dropping-particle" : "", "parse-names" : false, "suffix" : "" }, { "dropping-particle" : "", "family" : "Constant", "given" : "Deborah", "non-dropping-particle" : "", "parse-names" : false, "suffix" : "" }, { "dropping-particle" : "", "family" : "Cooper", "given" : "Diane", "non-dropping-particle" : "", "parse-names" : false, "suffix" : "" }, { "dropping-particle" : "", "family" : "Kalla", "given" : "Asgar A.", "non-dropping-particle" : "", "parse-names" : false, "suffix" : "" }, { "dropping-particle" : "", "family" : "Micklesfield", "given" : "Lisa", "non-dropping-particle" : "", "parse-names" : false, "suffix" : "" }, { "dropping-particle" : "", "family" : "Hoffman", "given" : "Margaret", "non-dropping-particle" : "", "parse-names" : false, "suffix" : "" } ], "container-title" : "Contraception", "id" : "ITEM-2", "issue" : "6", "issued" : { "date-parts" : [ [ "2007" ] ] }, "page" : "425-431", "title" : "Bone status after cessation of use of injectable progestin contraceptives", "type" : "article-journal", "volume" : "76" }, "uris" : [ "http://www.mendeley.com/documents/?uuid=36e930d0-2933-4607-9416-b23b1d29b656" ] } ], "mendeley" : { "formattedCitation" : "(111,112)", "plainTextFormattedCitation" : "(111,112)", "previouslyFormattedCitation" : "(111,112)" }, "properties" : { "noteIndex" : 0 }, "schema" : "https://github.com/citation-style-language/schema/raw/master/csl-citation.json" }</w:instrText>
      </w:r>
      <w:r w:rsidR="007A3EDC">
        <w:rPr>
          <w:lang w:val="en-GB"/>
        </w:rPr>
        <w:fldChar w:fldCharType="separate"/>
      </w:r>
      <w:r w:rsidR="00C7364E" w:rsidRPr="00C7364E">
        <w:rPr>
          <w:noProof/>
          <w:lang w:val="en-GB"/>
        </w:rPr>
        <w:t>(111,112)</w:t>
      </w:r>
      <w:r w:rsidR="007A3EDC">
        <w:rPr>
          <w:lang w:val="en-GB"/>
        </w:rPr>
        <w:fldChar w:fldCharType="end"/>
      </w:r>
      <w:r w:rsidR="00784D89">
        <w:rPr>
          <w:lang w:val="en-GB"/>
        </w:rPr>
        <w:t xml:space="preserve">. </w:t>
      </w:r>
      <w:r w:rsidR="00F37A78">
        <w:rPr>
          <w:lang w:val="en-GB"/>
        </w:rPr>
        <w:t>On the other hand</w:t>
      </w:r>
      <w:r w:rsidR="009D4F16">
        <w:rPr>
          <w:lang w:val="en-GB"/>
        </w:rPr>
        <w:t xml:space="preserve">, </w:t>
      </w:r>
      <w:r w:rsidR="00F37A78">
        <w:rPr>
          <w:lang w:val="en-GB"/>
        </w:rPr>
        <w:t xml:space="preserve">depot medroxyprogesterone acetate </w:t>
      </w:r>
      <w:r w:rsidR="00355BE6">
        <w:rPr>
          <w:lang w:val="en-GB"/>
        </w:rPr>
        <w:t>and</w:t>
      </w:r>
      <w:r w:rsidR="0064420C">
        <w:rPr>
          <w:lang w:val="en-GB"/>
        </w:rPr>
        <w:t xml:space="preserve"> progestin only pills </w:t>
      </w:r>
      <w:r w:rsidR="009D4F16">
        <w:rPr>
          <w:lang w:val="en-GB"/>
        </w:rPr>
        <w:t xml:space="preserve">protect BMD </w:t>
      </w:r>
      <w:r w:rsidR="00784D89">
        <w:rPr>
          <w:lang w:val="en-GB"/>
        </w:rPr>
        <w:t>during lactation, which is</w:t>
      </w:r>
      <w:r w:rsidR="00714009">
        <w:rPr>
          <w:lang w:val="en-GB"/>
        </w:rPr>
        <w:t xml:space="preserve"> considered to be</w:t>
      </w:r>
      <w:r w:rsidR="00784D89">
        <w:rPr>
          <w:lang w:val="en-GB"/>
        </w:rPr>
        <w:t xml:space="preserve"> a hypoestrogenic period </w:t>
      </w:r>
      <w:r w:rsidR="007A3EDC">
        <w:rPr>
          <w:lang w:val="en-GB"/>
        </w:rPr>
        <w:fldChar w:fldCharType="begin" w:fldLock="1"/>
      </w:r>
      <w:r w:rsidR="002C52CA">
        <w:rPr>
          <w:lang w:val="en-GB"/>
        </w:rPr>
        <w:instrText>ADDIN CSL_CITATION { "citationItems" : [ { "id" : "ITEM-1", "itemData" : { "DOI" : "10.1016/j.contraception.2011.08.015", "ISBN" : "0010-7824", "ISSN" : "00107824", "PMID" : "22036473", "abstract" : "Background: There are an increase in bone loss during the first 6 months postpartum and a complete recovery postweaning. A few studies of steroid contraceptive use during this period provide some evidence towards protection of bone loss with progestin-only contraceptive methods. Objective: The study was conducted to evaluate forearm bone mineral density (BMD) of breastfeeding postpartum women using nonhormonal and progestin-only contraceptive methods. Study Design: A prospective cohort study of postpartum women had an analysis performed at 6 months postpartum correlating BMD with contraceptive use. Forearm BMD was measured 7-10 days, 3 months and 6 months postpartum. Eighty-two women were analyzed, comparing nonhormonal (54) and progestin-only (28) contraceptive methods. Information about breastfeeding duration, amenorrhea and body mass index was collected. Results: Baseline characteristics of the study population showed no statistical differences between the groups. The median duration of breastfeeding for both groups was 183 days. A significant BMD decrease was observed for the nonhormonal group (p&lt;.001); however, no statistical difference was detected for the progestin-only group. Body mass index, BMD at 7-10 days postpartum and total duration of breastfeeding were positively correlated with BMD at 6 months. Conclusions: Our findings suggest a preventive effect towards postpartum bone loss with progestin-only contraception in breastfeeding women. ?? 2012 Elsevier Inc. All rights reserved.", "author" : [ { "dropping-particle" : "", "family" : "Costa", "given" : "Maria Laura", "non-dropping-particle" : "", "parse-names" : false, "suffix" : "" }, { "dropping-particle" : "", "family" : "Cecatti", "given" : "Jose Guilherme", "non-dropping-particle" : "", "parse-names" : false, "suffix" : "" }, { "dropping-particle" : "", "family" : "Krupa", "given" : "Fabiana G.", "non-dropping-particle" : "", "parse-names" : false, "suffix" : "" }, { "dropping-particle" : "", "family" : "Rehder", "given" : "Patricia Moretti", "non-dropping-particle" : "", "parse-names" : false, "suffix" : "" }, { "dropping-particle" : "", "family" : "Sousa", "given" : "Maria Helena", "non-dropping-particle" : "", "parse-names" : false, "suffix" : "" }, { "dropping-particle" : "", "family" : "Costa-Paiva", "given" : "Lucia", "non-dropping-particle" : "", "parse-names" : false, "suffix" : "" } ], "container-title" : "Contraception", "id" : "ITEM-1", "issue" : "4", "issued" : { "date-parts" : [ [ "2012" ] ] }, "page" : "374-380", "publisher" : "Elsevier Inc.", "title" : "Progestin-only contraception prevents bone loss in postpartum breastfeeding women", "type" : "article-journal", "volume" : "85" }, "uris" : [ "http://www.mendeley.com/documents/?uuid=48019e4a-4ed1-47f1-ac92-0dd86351068b" ] }, { "id" : "ITEM-2", "itemData" : { "DOI" : "10.1016/j.contraception.2005.12.010", "ISSN" : "00107824", "PMID" : "16627031", "abstract" : "Questions have been raised about the effects of progestogen-only contraceptive use on bone health, particularly among young women who have not yet reached peak bone mass and perimenopausal women who may be starting to lose bone mass. We conducted a systematic review that evaluated the association between progestogen-only contraceptive use and fracture risk or bone mineral density (BMD). We identified 39 articles from MEDLINE and EMBASE, published through July 2005. One study reported that depot medroxyprogesterone acetate (DMPA) users were more likely to experience stress fractures than nonusers; this association was not statistically significant after controlling for baseline bone density. In cross-sectional studies, the mean BMD in DMPA users was usually below that of nonusers, but within 1 SD. In longitudinal studies, BMD generally decreased more over time among DMPA users than among nonusers, but women gained BMD upon discontinuation of DMPA. Limited evidence suggested that use of progestogen-only contraceptives other than DMPA did not affect BMD. ?? 2006 Elsevier Inc. All rights reserved.", "author" : [ { "dropping-particle" : "", "family" : "Curtis", "given" : "Kathryn M.", "non-dropping-particle" : "", "parse-names" : false, "suffix" : "" }, { "dropping-particle" : "", "family" : "Martins", "given" : "Summer L.", "non-dropping-particle" : "", "parse-names" : false, "suffix" : "" } ], "container-title" : "Contraception", "id" : "ITEM-2", "issue" : "5", "issued" : { "date-parts" : [ [ "2006" ] ] }, "page" : "470-487", "title" : "Progestogen-only contraception and bone mineral density: a systematic review", "type" : "article-journal", "volume" : "73" }, "uris" : [ "http://www.mendeley.com/documents/?uuid=a32b463c-9b3d-479b-bf9d-29727554bb8f" ] } ], "mendeley" : { "formattedCitation" : "(113,114)", "plainTextFormattedCitation" : "(113,114)", "previouslyFormattedCitation" : "(113,114)" }, "properties" : { "noteIndex" : 0 }, "schema" : "https://github.com/citation-style-language/schema/raw/master/csl-citation.json" }</w:instrText>
      </w:r>
      <w:r w:rsidR="007A3EDC">
        <w:rPr>
          <w:lang w:val="en-GB"/>
        </w:rPr>
        <w:fldChar w:fldCharType="separate"/>
      </w:r>
      <w:r w:rsidR="00C7364E" w:rsidRPr="00C7364E">
        <w:rPr>
          <w:noProof/>
          <w:lang w:val="en-GB"/>
        </w:rPr>
        <w:t>(113,114)</w:t>
      </w:r>
      <w:r w:rsidR="007A3EDC">
        <w:rPr>
          <w:lang w:val="en-GB"/>
        </w:rPr>
        <w:fldChar w:fldCharType="end"/>
      </w:r>
      <w:r w:rsidR="00784D89">
        <w:rPr>
          <w:lang w:val="en-GB"/>
        </w:rPr>
        <w:t>.</w:t>
      </w:r>
      <w:r w:rsidR="002668CD">
        <w:rPr>
          <w:lang w:val="en-GB"/>
        </w:rPr>
        <w:t xml:space="preserve"> </w:t>
      </w:r>
    </w:p>
    <w:p w14:paraId="5BBDDF6F" w14:textId="127F9F82" w:rsidR="0036044B" w:rsidRPr="00F65513" w:rsidRDefault="006952D5" w:rsidP="003E6F2B">
      <w:pPr>
        <w:spacing w:after="0" w:line="360" w:lineRule="auto"/>
        <w:jc w:val="both"/>
        <w:rPr>
          <w:lang w:val="en-US"/>
        </w:rPr>
      </w:pPr>
      <w:r>
        <w:rPr>
          <w:lang w:val="en-GB"/>
        </w:rPr>
        <w:t xml:space="preserve">Areal </w:t>
      </w:r>
      <w:r w:rsidR="00A76D73" w:rsidRPr="00526214">
        <w:rPr>
          <w:lang w:val="en-GB"/>
        </w:rPr>
        <w:t>BMD</w:t>
      </w:r>
      <w:r w:rsidR="00121F8F">
        <w:rPr>
          <w:lang w:val="en-GB"/>
        </w:rPr>
        <w:t xml:space="preserve"> at all sites </w:t>
      </w:r>
      <w:r w:rsidR="00F37A78">
        <w:rPr>
          <w:lang w:val="en-GB"/>
        </w:rPr>
        <w:t>did not increase</w:t>
      </w:r>
      <w:r>
        <w:rPr>
          <w:lang w:val="en-GB"/>
        </w:rPr>
        <w:t xml:space="preserve"> in MtF</w:t>
      </w:r>
      <w:r w:rsidR="00396886">
        <w:rPr>
          <w:lang w:val="en-GB"/>
        </w:rPr>
        <w:t xml:space="preserve"> transgender</w:t>
      </w:r>
      <w:r>
        <w:rPr>
          <w:lang w:val="en-GB"/>
        </w:rPr>
        <w:t xml:space="preserve"> adolescents</w:t>
      </w:r>
      <w:r w:rsidR="00A76D73">
        <w:rPr>
          <w:lang w:val="en-GB"/>
        </w:rPr>
        <w:t xml:space="preserve">, </w:t>
      </w:r>
      <w:r w:rsidR="00F37A78">
        <w:rPr>
          <w:lang w:val="en-GB"/>
        </w:rPr>
        <w:t xml:space="preserve">in contrast to </w:t>
      </w:r>
      <w:r>
        <w:rPr>
          <w:lang w:val="en-GB"/>
        </w:rPr>
        <w:t xml:space="preserve">their </w:t>
      </w:r>
      <w:r w:rsidR="00D03980">
        <w:rPr>
          <w:lang w:val="en-GB"/>
        </w:rPr>
        <w:t>age-matched male peers</w:t>
      </w:r>
      <w:r w:rsidR="00F37A78">
        <w:rPr>
          <w:lang w:val="en-GB"/>
        </w:rPr>
        <w:t xml:space="preserve">. </w:t>
      </w:r>
      <w:r w:rsidR="003E6F2B">
        <w:rPr>
          <w:lang w:val="en-GB"/>
        </w:rPr>
        <w:t>In</w:t>
      </w:r>
      <w:r w:rsidR="00F65513">
        <w:rPr>
          <w:lang w:val="en-GB"/>
        </w:rPr>
        <w:t xml:space="preserve"> compari</w:t>
      </w:r>
      <w:r w:rsidR="003E6F2B">
        <w:rPr>
          <w:lang w:val="en-GB"/>
        </w:rPr>
        <w:t>so</w:t>
      </w:r>
      <w:r w:rsidR="00F65513">
        <w:rPr>
          <w:lang w:val="en-GB"/>
        </w:rPr>
        <w:t xml:space="preserve">n with </w:t>
      </w:r>
      <w:r w:rsidR="003E6F2B">
        <w:rPr>
          <w:lang w:val="en-GB"/>
        </w:rPr>
        <w:t>GnRHa,</w:t>
      </w:r>
      <w:r w:rsidR="00F65513">
        <w:rPr>
          <w:lang w:val="en-GB"/>
        </w:rPr>
        <w:t xml:space="preserve"> Z-scores of our adolescents treated with CA, decreased more at the lumbar spine, whilst similar results were seen at the femoral neck</w:t>
      </w:r>
      <w:r w:rsidR="003E6F2B">
        <w:rPr>
          <w:lang w:val="en-GB"/>
        </w:rPr>
        <w:t xml:space="preserve"> </w:t>
      </w:r>
      <w:r w:rsidR="003E6F2B">
        <w:rPr>
          <w:lang w:val="en-GB"/>
        </w:rPr>
        <w:fldChar w:fldCharType="begin" w:fldLock="1"/>
      </w:r>
      <w:r w:rsidR="002C52CA">
        <w:rPr>
          <w:lang w:val="en-GB"/>
        </w:rPr>
        <w:instrText>ADDIN CSL_CITATION { "citationItems" : [ { "id" : "ITEM-1", "itemData" : { "DOI" : "10.1210/jc.2014-2439", "ISSN" : "0021-972X", "author" : [ { "dropping-particle" : "", "family" : "Klink", "given" : "Daniel", "non-dropping-particle" : "", "parse-names" : false, "suffix" : "" }, { "dropping-particle" : "", "family" : "Caris", "given" : "Martine", "non-dropping-particle" : "", "parse-names" : false, "suffix" : "" }, { "dropping-particle" : "", "family" : "Heijboer", "given" : "Annemieke", "non-dropping-particle" : "", "parse-names" : false, "suffix" : "" }, { "dropping-particle" : "", "family" : "Trotsenburg", "given" : "Michael", "non-dropping-particle" : "van", "parse-names" : false, "suffix" : "" }, { "dropping-particle" : "", "family" : "Rotteveel", "given" : "Joost", "non-dropping-particle" : "", "parse-names" : false, "suffix" : "" } ], "container-title" : "The Journal of Clinical Endocrinology &amp; Metabolism", "id" : "ITEM-1", "issue" : "2", "issued" : { "date-parts" : [ [ "2015" ] ] }, "note" : "We used natal sex as a reference for aBMD z scores because the size and quality of cortex of the bone is determined during puberty and adolescence (9, 10), in line with recent studies on bone mass in transgender adults (11, 12)", "page" : "E270-E275", "title" : "Bone Mass in Young Adulthood Following Gonadotropin-Releasing Hormone Analog Treatment and Cross-Sex Hormone Treatment in Adolescents With Gender Dysphoria", "type" : "article-journal", "volume" : "100" }, "uris" : [ "http://www.mendeley.com/documents/?uuid=565fa812-8bbe-451b-b24f-794df44fd2b5" ] } ], "mendeley" : { "formattedCitation" : "(48)", "plainTextFormattedCitation" : "(48)", "previouslyFormattedCitation" : "(48)" }, "properties" : { "noteIndex" : 0 }, "schema" : "https://github.com/citation-style-language/schema/raw/master/csl-citation.json" }</w:instrText>
      </w:r>
      <w:r w:rsidR="003E6F2B">
        <w:rPr>
          <w:lang w:val="en-GB"/>
        </w:rPr>
        <w:fldChar w:fldCharType="separate"/>
      </w:r>
      <w:r w:rsidR="00C7364E" w:rsidRPr="00C7364E">
        <w:rPr>
          <w:noProof/>
          <w:lang w:val="en-GB"/>
        </w:rPr>
        <w:t>(48)</w:t>
      </w:r>
      <w:r w:rsidR="003E6F2B">
        <w:rPr>
          <w:lang w:val="en-GB"/>
        </w:rPr>
        <w:fldChar w:fldCharType="end"/>
      </w:r>
      <w:r w:rsidR="00F65513">
        <w:rPr>
          <w:lang w:val="en-GB"/>
        </w:rPr>
        <w:t xml:space="preserve">. </w:t>
      </w:r>
      <w:r>
        <w:rPr>
          <w:lang w:val="en-GB"/>
        </w:rPr>
        <w:t>Of note</w:t>
      </w:r>
      <w:r w:rsidR="00F65513">
        <w:rPr>
          <w:lang w:val="en-GB"/>
        </w:rPr>
        <w:t xml:space="preserve">, </w:t>
      </w:r>
      <w:r w:rsidR="00F5615F">
        <w:rPr>
          <w:lang w:val="en-GB"/>
        </w:rPr>
        <w:t xml:space="preserve">average </w:t>
      </w:r>
      <w:r w:rsidR="00F65513">
        <w:rPr>
          <w:lang w:val="en-GB"/>
        </w:rPr>
        <w:t xml:space="preserve">treatment duration </w:t>
      </w:r>
      <w:r w:rsidR="00F5615F">
        <w:rPr>
          <w:lang w:val="en-GB"/>
        </w:rPr>
        <w:t xml:space="preserve">in our study </w:t>
      </w:r>
      <w:r w:rsidR="00F65513">
        <w:rPr>
          <w:lang w:val="en-GB"/>
        </w:rPr>
        <w:t xml:space="preserve">was </w:t>
      </w:r>
      <w:r w:rsidR="00F5615F">
        <w:rPr>
          <w:lang w:val="en-GB"/>
        </w:rPr>
        <w:t>approximately four months shorter</w:t>
      </w:r>
      <w:r w:rsidR="00F65513">
        <w:rPr>
          <w:lang w:val="en-GB"/>
        </w:rPr>
        <w:t xml:space="preserve">. </w:t>
      </w:r>
      <w:r w:rsidR="00F5615F">
        <w:rPr>
          <w:lang w:val="en-GB"/>
        </w:rPr>
        <w:t>Th</w:t>
      </w:r>
      <w:r>
        <w:rPr>
          <w:lang w:val="en-GB"/>
        </w:rPr>
        <w:t xml:space="preserve">erefore, our results suggest </w:t>
      </w:r>
      <w:r w:rsidR="00F5615F">
        <w:rPr>
          <w:lang w:val="en-GB"/>
        </w:rPr>
        <w:t xml:space="preserve">that CA has a similar or even </w:t>
      </w:r>
      <w:r w:rsidR="003B5751">
        <w:rPr>
          <w:lang w:val="en-GB"/>
        </w:rPr>
        <w:t>more</w:t>
      </w:r>
      <w:r w:rsidR="00F5615F">
        <w:rPr>
          <w:lang w:val="en-GB"/>
        </w:rPr>
        <w:t xml:space="preserve"> negative impact on bone mass accrual </w:t>
      </w:r>
      <w:r w:rsidR="003B5751">
        <w:rPr>
          <w:lang w:val="en-GB"/>
        </w:rPr>
        <w:t>than</w:t>
      </w:r>
      <w:r w:rsidR="00F5615F">
        <w:rPr>
          <w:lang w:val="en-GB"/>
        </w:rPr>
        <w:t xml:space="preserve"> GnRHa. </w:t>
      </w:r>
      <w:r w:rsidR="00BC1F92">
        <w:rPr>
          <w:lang w:val="en-GB"/>
        </w:rPr>
        <w:t xml:space="preserve">However, it cannot be excluded that differences in bone mass accrual compared to typical male adolescents results from lifestyle differences, e.g. less physical activity, rather than from a CA (or GnRHa) induced effect. A prospective study, controlling for this variable may shed more light on this important issue.  </w:t>
      </w:r>
    </w:p>
    <w:p w14:paraId="203B9468" w14:textId="43FCE465" w:rsidR="00C3339C" w:rsidRDefault="00C3339C" w:rsidP="00C3339C">
      <w:pPr>
        <w:pStyle w:val="Kop3"/>
        <w:rPr>
          <w:lang w:val="en-GB"/>
        </w:rPr>
      </w:pPr>
      <w:bookmarkStart w:id="70" w:name="_Toc451961526"/>
      <w:r>
        <w:rPr>
          <w:lang w:val="en-GB"/>
        </w:rPr>
        <w:t>Bone (pQCT)</w:t>
      </w:r>
      <w:bookmarkEnd w:id="70"/>
    </w:p>
    <w:p w14:paraId="23275216" w14:textId="07AA416A" w:rsidR="00C50E6A" w:rsidRDefault="00F37A78" w:rsidP="00211A92">
      <w:pPr>
        <w:spacing w:after="0" w:line="360" w:lineRule="auto"/>
        <w:jc w:val="both"/>
        <w:rPr>
          <w:lang w:val="en-GB"/>
        </w:rPr>
      </w:pPr>
      <w:r>
        <w:rPr>
          <w:lang w:val="en-GB"/>
        </w:rPr>
        <w:t xml:space="preserve">In line with </w:t>
      </w:r>
      <w:r w:rsidR="00432D93">
        <w:rPr>
          <w:lang w:val="en-GB"/>
        </w:rPr>
        <w:t xml:space="preserve">the </w:t>
      </w:r>
      <w:r>
        <w:rPr>
          <w:lang w:val="en-GB"/>
        </w:rPr>
        <w:t xml:space="preserve">DXA results, total, trabecular and cortical vBMD increased at all sites </w:t>
      </w:r>
      <w:r w:rsidR="00757B42">
        <w:rPr>
          <w:lang w:val="en-GB"/>
        </w:rPr>
        <w:t xml:space="preserve">in FtM </w:t>
      </w:r>
      <w:r w:rsidR="00AE7A4C">
        <w:rPr>
          <w:lang w:val="en-GB"/>
        </w:rPr>
        <w:t>trans</w:t>
      </w:r>
      <w:r w:rsidR="002E31BF">
        <w:rPr>
          <w:lang w:val="en-GB"/>
        </w:rPr>
        <w:t>gender</w:t>
      </w:r>
      <w:r w:rsidR="00AE7A4C">
        <w:rPr>
          <w:lang w:val="en-GB"/>
        </w:rPr>
        <w:t xml:space="preserve"> </w:t>
      </w:r>
      <w:r w:rsidR="00757B42">
        <w:rPr>
          <w:lang w:val="en-GB"/>
        </w:rPr>
        <w:t>adolescents</w:t>
      </w:r>
      <w:r w:rsidR="001D63F2">
        <w:rPr>
          <w:lang w:val="en-GB"/>
        </w:rPr>
        <w:t>.</w:t>
      </w:r>
      <w:r w:rsidR="0067709D">
        <w:rPr>
          <w:lang w:val="en-GB"/>
        </w:rPr>
        <w:t xml:space="preserve"> </w:t>
      </w:r>
      <w:r w:rsidR="00F72826">
        <w:rPr>
          <w:lang w:val="en-GB"/>
        </w:rPr>
        <w:t>No major changes were</w:t>
      </w:r>
      <w:r w:rsidR="003B5751">
        <w:rPr>
          <w:lang w:val="en-GB"/>
        </w:rPr>
        <w:t xml:space="preserve"> seen in cortical thickness. These results were</w:t>
      </w:r>
      <w:r w:rsidR="00F72826">
        <w:rPr>
          <w:lang w:val="en-GB"/>
        </w:rPr>
        <w:t xml:space="preserve"> </w:t>
      </w:r>
      <w:r w:rsidR="003B5751">
        <w:rPr>
          <w:lang w:val="en-GB"/>
        </w:rPr>
        <w:t>all similar to</w:t>
      </w:r>
      <w:r w:rsidR="00F72826">
        <w:rPr>
          <w:lang w:val="en-GB"/>
        </w:rPr>
        <w:t xml:space="preserve"> their female peers</w:t>
      </w:r>
      <w:r w:rsidR="00C03890">
        <w:rPr>
          <w:lang w:val="en-GB"/>
        </w:rPr>
        <w:t xml:space="preserve">, </w:t>
      </w:r>
      <w:r w:rsidR="00432D93">
        <w:rPr>
          <w:lang w:val="en-GB"/>
        </w:rPr>
        <w:t xml:space="preserve">again </w:t>
      </w:r>
      <w:r w:rsidR="00C03890">
        <w:rPr>
          <w:lang w:val="en-GB"/>
        </w:rPr>
        <w:t>indicating a normal</w:t>
      </w:r>
      <w:r w:rsidR="00211A92">
        <w:rPr>
          <w:lang w:val="en-GB"/>
        </w:rPr>
        <w:t xml:space="preserve"> bone</w:t>
      </w:r>
      <w:r w:rsidR="00C03890">
        <w:rPr>
          <w:lang w:val="en-GB"/>
        </w:rPr>
        <w:t xml:space="preserve"> development</w:t>
      </w:r>
      <w:r w:rsidR="00F72826">
        <w:rPr>
          <w:lang w:val="en-GB"/>
        </w:rPr>
        <w:t xml:space="preserve">. </w:t>
      </w:r>
    </w:p>
    <w:p w14:paraId="6E35856A" w14:textId="1287444E" w:rsidR="00D1389F" w:rsidRDefault="00C50E6A" w:rsidP="00211A92">
      <w:pPr>
        <w:spacing w:after="0" w:line="360" w:lineRule="auto"/>
        <w:jc w:val="both"/>
        <w:rPr>
          <w:lang w:val="en-GB"/>
        </w:rPr>
      </w:pPr>
      <w:r>
        <w:rPr>
          <w:lang w:val="en-GB"/>
        </w:rPr>
        <w:t>In MtF transgender adolescents, CA had a negative effect on</w:t>
      </w:r>
      <w:r w:rsidR="009C69A0">
        <w:rPr>
          <w:lang w:val="en-GB"/>
        </w:rPr>
        <w:t xml:space="preserve"> the vBMD </w:t>
      </w:r>
      <w:r w:rsidR="006952D5">
        <w:rPr>
          <w:lang w:val="en-GB"/>
        </w:rPr>
        <w:t xml:space="preserve">of </w:t>
      </w:r>
      <w:r w:rsidR="009C69A0">
        <w:rPr>
          <w:lang w:val="en-GB"/>
        </w:rPr>
        <w:t xml:space="preserve">the metaphysis </w:t>
      </w:r>
      <w:r w:rsidR="006952D5">
        <w:rPr>
          <w:lang w:val="en-GB"/>
        </w:rPr>
        <w:t xml:space="preserve">(trabecular bone) </w:t>
      </w:r>
      <w:r w:rsidR="009C69A0">
        <w:rPr>
          <w:lang w:val="en-GB"/>
        </w:rPr>
        <w:t>of the radius and tibia, wh</w:t>
      </w:r>
      <w:r w:rsidR="006952D5">
        <w:rPr>
          <w:lang w:val="en-GB"/>
        </w:rPr>
        <w:t>ereas</w:t>
      </w:r>
      <w:r w:rsidR="009C69A0">
        <w:rPr>
          <w:lang w:val="en-GB"/>
        </w:rPr>
        <w:t xml:space="preserve"> cortical bone was not affected and showed a similar evolution as their male peers</w:t>
      </w:r>
      <w:r>
        <w:rPr>
          <w:lang w:val="en-GB"/>
        </w:rPr>
        <w:t xml:space="preserve">. </w:t>
      </w:r>
      <w:r w:rsidR="009C69A0">
        <w:rPr>
          <w:lang w:val="en-GB"/>
        </w:rPr>
        <w:t>The</w:t>
      </w:r>
      <w:r w:rsidR="00C03890">
        <w:rPr>
          <w:lang w:val="en-GB"/>
        </w:rPr>
        <w:t>re was a decrease in both the</w:t>
      </w:r>
      <w:r w:rsidR="009C69A0">
        <w:rPr>
          <w:lang w:val="en-GB"/>
        </w:rPr>
        <w:t xml:space="preserve"> endostal </w:t>
      </w:r>
      <w:r w:rsidR="00C03890">
        <w:rPr>
          <w:lang w:val="en-GB"/>
        </w:rPr>
        <w:t xml:space="preserve">and </w:t>
      </w:r>
      <w:r w:rsidR="009C69A0">
        <w:rPr>
          <w:lang w:val="en-GB"/>
        </w:rPr>
        <w:t>periostal circumference</w:t>
      </w:r>
      <w:r w:rsidR="00C03890">
        <w:rPr>
          <w:lang w:val="en-GB"/>
        </w:rPr>
        <w:t xml:space="preserve">, which </w:t>
      </w:r>
      <w:r w:rsidR="00432D93">
        <w:rPr>
          <w:lang w:val="en-GB"/>
        </w:rPr>
        <w:t>can be the result of</w:t>
      </w:r>
      <w:r w:rsidR="00C03890">
        <w:rPr>
          <w:lang w:val="en-GB"/>
        </w:rPr>
        <w:t xml:space="preserve"> dec</w:t>
      </w:r>
      <w:r w:rsidR="00432D93">
        <w:rPr>
          <w:lang w:val="en-GB"/>
        </w:rPr>
        <w:t>reasing</w:t>
      </w:r>
      <w:r w:rsidR="00C03890">
        <w:rPr>
          <w:lang w:val="en-GB"/>
        </w:rPr>
        <w:t xml:space="preserve"> androgen</w:t>
      </w:r>
      <w:r w:rsidR="00432D93">
        <w:rPr>
          <w:lang w:val="en-GB"/>
        </w:rPr>
        <w:t xml:space="preserve"> (and estrogen)</w:t>
      </w:r>
      <w:r w:rsidR="00C03890">
        <w:rPr>
          <w:lang w:val="en-GB"/>
        </w:rPr>
        <w:t xml:space="preserve"> levels by CA </w:t>
      </w:r>
      <w:r w:rsidR="00432D93">
        <w:rPr>
          <w:lang w:val="en-GB"/>
        </w:rPr>
        <w:fldChar w:fldCharType="begin" w:fldLock="1"/>
      </w:r>
      <w:r w:rsidR="002C52CA">
        <w:rPr>
          <w:lang w:val="en-GB"/>
        </w:rPr>
        <w:instrText>ADDIN CSL_CITATION { "citationItems" : [ { "id" : "ITEM-1", "itemData" : { "DOI" : "10.1210/er.2003-0003", "ISSN" : "0163-769X", "PMID" : "15180950", "abstract" : "Loss of estrogens or androgens increases the rate of bone remodeling by removing restraining effects on osteoblastogenesis and osteoclastogenesis, and also causes a focal imbalance between resorption and formation by prolonging the lifespan of osteoclasts and shortening the lifespan of osteoblasts. Conversely, androgens, as well as estrogens, maintain cancellous bone mass and integrity, regardless of age or sex. Although androgens, via the androgen receptor (AR), and estrogens, via the estrogen receptors (ERs), can exert these effects, their relative contribution remains uncertain. Recent studies suggest that androgen action on cancellous bone depends on (local) aromatization of androgens into estrogens. However, at least in rodents, androgen action on cancellous bone can be directly mediated via AR activation, even in the absence of ERs. Androgens also increase cortical bone size via stimulation of both longitudinal and radial growth. First, androgens, like estrogens, have a biphasic effect on endochondral bone formation: at the start of puberty, sex steroids stimulate endochondral bone formation, whereas they induce epiphyseal closure at the end of puberty. Androgen action on the growth plate is, however, clearly mediated via aromatization in estrogens and interaction with ERalpha. Androgens increase radial growth, whereas estrogens decrease periosteal bone formation. This effect of androgens may be important because bone strength in males seems to be determined by relatively higher periosteal bone formation and, therefore, greater bone dimensions, relative to muscle mass at older age. Experiments in mice again suggest that both the AR and ERalpha pathways are involved in androgen action on radial bone growth. ERbeta may mediate growth-limiting effects of estrogens in the female but does not seem to be involved in the regulation of bone size in males. In conclusion, androgens may protect men against osteoporosis via maintenance of cancellous bone mass and expansion of cortical bone. Such androgen action on bone is mediated by the AR and ERalpha.", "author" : [ { "dropping-particle" : "", "family" : "Vanderschueren", "given" : "Dirk", "non-dropping-particle" : "", "parse-names" : false, "suffix" : "" }, { "dropping-particle" : "", "family" : "Vandenput", "given" : "Liesbeth", "non-dropping-particle" : "", "parse-names" : false, "suffix" : "" }, { "dropping-particle" : "", "family" : "Boonen", "given" : "Steven", "non-dropping-particle" : "", "parse-names" : false, "suffix" : "" }, { "dropping-particle" : "", "family" : "Lindberg", "given" : "Marie K", "non-dropping-particle" : "", "parse-names" : false, "suffix" : "" }, { "dropping-particle" : "", "family" : "Bouillon", "given" : "Roger", "non-dropping-particle" : "", "parse-names" : false, "suffix" : "" }, { "dropping-particle" : "", "family" : "Ohlsson", "given" : "Claes", "non-dropping-particle" : "", "parse-names" : false, "suffix" : "" } ], "container-title" : "Endocrine reviews", "id" : "ITEM-1", "issue" : "3", "issued" : { "date-parts" : [ [ "2004", "6" ] ] }, "page" : "389-425", "title" : "Androgens and bone.", "type" : "article-journal", "volume" : "25" }, "uris" : [ "http://www.mendeley.com/documents/?uuid=6886291f-fe04-480e-8755-428a71087dd7" ] }, { "id" : "ITEM-2", "itemData" : { "DOI" : "10.1210/jc.2004-0602", "ISSN" : "0021972X", "PMID" : "15579754", "abstract" : "The skeletal response to estrogen therapy was studied in a 17-yr-old boy with congenital aromatase deficiency. As expected, estrogen therapy (1 mg estradiol valeriate/d from age 17 until 20 yr) normalized total and free testosterone and reduced the rate of bone remodeling. Dual-energy x-ray absorptiometry-assessed areal bone mineral density (BMD) of the lumbar spine and femoral neck increased significantly (by 23% and 14%, respectively), but peripheral quantitative computed tomography at the ultradistal radius revealed no gain of either trabecular or cortical volumetric BMD. The increase in areal BMD was thus driven by an increase in bone size. Indeed, longitudinal bone growth (height, +8.5%) and especially cross-sectional area of the radius (+46%) and cortical thickness (+12%), as measured by peripheral quantitative computed tomography, increased markedly during estrogen treatment. These findings demonstrate that androgens alone are insufficient, whereas estrogens are essential for the process of pubertal periosteal bone expansion typically associated with the male bone phenotype.", "author" : [ { "dropping-particle" : "", "family" : "Bouillon", "given" : "Roger", "non-dropping-particle" : "", "parse-names" : false, "suffix" : "" }, { "dropping-particle" : "", "family" : "Bex", "given" : "Marie", "non-dropping-particle" : "", "parse-names" : false, "suffix" : "" }, { "dropping-particle" : "", "family" : "Vanderschueren", "given" : "Dirk", "non-dropping-particle" : "", "parse-names" : false, "suffix" : "" }, { "dropping-particle" : "", "family" : "Boonen", "given" : "Steven", "non-dropping-particle" : "", "parse-names" : false, "suffix" : "" } ], "container-title" : "Journal of Clinical Endocrinology and Metabolism", "id" : "ITEM-2", "issue" : "12", "issued" : { "date-parts" : [ [ "2004" ] ] }, "page" : "6025-6029", "title" : "Estrogens are essential for male pubertal periosteal bone expansion", "type" : "article-journal", "volume" : "89" }, "uris" : [ "http://www.mendeley.com/documents/?uuid=dbcbfcf6-392a-48f4-bcdf-f1a914c02ac0" ] }, { "id" : "ITEM-3", "itemData" : { "DOI" : "10.1016/j.bone.2009.04.198", "ISBN" : "1873-2763 (Electronic)\\n1873-2763 (Linking)", "ISSN" : "87563282", "PMID" : "19376280", "abstract" : "Introduction: Sex steroids have distinct effects on bone growth and maintenance in men and women, mediated through their respective steroid receptors. Though most evidence is derived from animal studies, several concepts have been confirmed in humans by detection of specific mutations. In this report we describe changes in bone size and volumetric bone density in a complete androgen insensitive subject (CAIS) due to a mutation in the androgen receptor during 5??years of estrogen treatment. Materials and methods: We present a case report of a 31??year old XY female with CAIS with a longitudinal follow-up for 5??years of areal and volumetric bone parameters. Areal and volumetric bone parameters were determined using dual-energy X-ray absorptiometry (DXA) and peripheral quantitative computed tomography (pQCT). Sex steroids, LH, FSH and IGF-I were determined by immunoassay. Results: Complete androgen insensitivity syndrome was genetically confirmed by detection of the mutation Asp767Tyr in the androgen receptor gene. Bone size at presentation was found to be intermediate between male and female reference values. Low areal and volumetric bone density (both trabecular and cortical) was observed at baseline and improved gradually with estrogen treatment (+ 2% to 6.5%). Upon estrogen treatment, endosteal contraction (- 1%) was demonstrated, with increasing cortical thickness (+ 3%), cortical area (+ 5%) and unchanged periosteal circumference. Conclusions: During adult life, estrogens mediate endosteal bone apposition and volumetric bone density, without marked influence on periosteal bone apposition. The finding of a bone size intermediate between male and female supports testosterone as an essential mediator for periosteal bone expansion, but not as the sole stimulus for bone expansion during growth. ?? 2009 Elsevier Inc. All rights reserved.", "author" : [ { "dropping-particle" : "", "family" : "Taes", "given" : "Youri", "non-dropping-particle" : "", "parse-names" : false, "suffix" : "" }, { "dropping-particle" : "", "family" : "Lapauw", "given" : "Bruno", "non-dropping-particle" : "", "parse-names" : false, "suffix" : "" }, { "dropping-particle" : "", "family" : "Vandewalle", "given" : "Sara", "non-dropping-particle" : "", "parse-names" : false, "suffix" : "" }, { "dropping-particle" : "", "family" : "Zmierczak", "given" : "Hans", "non-dropping-particle" : "", "parse-names" : false, "suffix" : "" }, { "dropping-particle" : "", "family" : "Goemaere", "given" : "Stefan", "non-dropping-particle" : "", "parse-names" : false, "suffix" : "" }, { "dropping-particle" : "", "family" : "Vanderschueren", "given" : "Dirk", "non-dropping-particle" : "", "parse-names" : false, "suffix" : "" }, { "dropping-particle" : "", "family" : "Kaufman", "given" : "Jean Marc", "non-dropping-particle" : "", "parse-names" : false, "suffix" : "" }, { "dropping-particle" : "", "family" : "T'Sjoen", "given" : "Guy", "non-dropping-particle" : "", "parse-names" : false, "suffix" : "" } ], "container-title" : "Bone", "id" : "ITEM-3", "issue" : "2", "issued" : { "date-parts" : [ [ "2009" ] ] }, "page" : "392-397", "publisher" : "Elsevier Inc.", "title" : "Estrogen-specific action on bone geometry and volumetric bone density: Longitudinal observations in an adult with complete androgen insensitivity", "type" : "article-journal", "volume" : "45" }, "uris" : [ "http://www.mendeley.com/documents/?uuid=a48057ae-3c7c-4bee-be63-16fc9157921b" ] }, { "id" : "ITEM-4", "itemData" : { "DOI" : "10.1359/JBMR.050404", "ISSN" : "08840431 (ISSN)", "PMID" : "16007330", "abstract" : "In this study, we evaluated the predictive roles of sex steroids for skeletal parameters in young men (n = 1068) at the age of peak bone mass. Serum free estradiol was a negative predictor, whereas free testosterone and SHBG were positive predictors of cortical bone size. Introduction: Previous studies have shown that free estradiol in serum is an independent predictor of areal BMD (aBMD) in elderly men. The aim of this study was to determine whether sex steroids are predictors of volumetric BMD (vBMD) and/or size of the trabecular and cortical bone compartments in young men at the age of peak bone mass. Materials and Methods: The Gothenburg Osteoporosis and Obesity Determinants (GOOD) study consists of 1068 men, 18.9 \u00b1 0.6 years of age. Serum levels of testosterone, estradiol, and sex hormone binding globulin (SHBG) were measured, and free levels of testosterone and estradiol were calculated. The size of the cortical bone and the cortical and trabecular vBMDs were measured by pQCT. Results: Regression models including age, height, weight, free estradiol, and free testosterone showed that free estradiol was an independent negative predictor of cortical cross-sectional area (tibia \u03b2 = -0.111, p &lt; 0.001; radius \u03b2 = -0.125, p &lt; 0.001), periosteal circumference, and endosteal circumference, whereas it was a positive independent predictor of cortical vBMD (tibia \u03b2 = 0.100, p &lt; 0.003; radius \u03b2 = 0.115, p = 0.001) in both the tibia and radius. Free testosterone was an independent positive predictor of cortical cross-sectional area (tibia \u03b2 = 0.071, p = 0.013; radius \u03b2 = 0.064, p = 0.039), periosteal circumference, and endosteal circumference in both the tibia and radius. Neither cortical nor trabecular vBMD was associated with free testosterone. SHBG was an independent positive predictor of parameters reflecting the size of the cortical bone, including cross-sectional area (\u03b2 = 0.078, p = 0.009), periosteal circumference, and endosteal circumference. Conclusions: Free estradiol is a negative, whereas free testosterone is a positive, predictor of cortical bone size in young men at the age of peak bone mass. These findings support the notion that estrogens reduce, whereas androgens increase, cortical bone size, resulting in the well-known sexual dimorphism of cortical bone geometry. \u00a9 2005 American Society for Bone and Mineral Research.", "author" : [ { "dropping-particle" : "", "family" : "Lorentzon", "given" : "M", "non-dropping-particle" : "", "parse-names" : false, "suffix" : "" }, { "dropping-particle" : "", "family" : "Swanson", "given" : "C", "non-dropping-particle" : "", "parse-names" : false, "suffix" : "" }, { "dropping-particle" : "", "family" : "Andersson", "given" : "N", "non-dropping-particle" : "", "parse-names" : false, "suffix" : "" }, { "dropping-particle" : "", "family" : "Mellstr\u00f6m", "given" : "D", "non-dropping-particle" : "", "parse-names" : false, "suffix" : "" }, { "dropping-particle" : "", "family" : "Ohlsson", "given" : "C", "non-dropping-particle" : "", "parse-names" : false, "suffix" : "" } ], "container-title" : "Journal of Bone and Mineral Research", "id" : "ITEM-4", "issue" : "8", "issued" : { "date-parts" : [ [ "2005" ] ] }, "page" : "1334-1341", "title" : "Free testosterone is a positive, whereas free estradiol is a negative, predictor of cortical bone size in young Swedish men: The GOOD study", "type" : "article-journal", "volume" : "20" }, "uris" : [ "http://www.mendeley.com/documents/?uuid=6ca7801f-f304-4d32-a46a-c1b8ef48af35" ] }, { "id" : "ITEM-5", "itemData" : { "DOI" : "10.1359/jbmr.081260", "ISSN" : "1523-4681", "PMID" : "19113912", "abstract" : "This study investigates determinants of peak bone mass (PBM) in healthy men, focusing on effects and interactions of parameters reflecting mechanical loading and sex steroids. Healthy male siblings (n = 677; 25-45 yr) were recruited in a cross-sectional, population-based study. Physical activity score was assessed by a self-reported questionnaire. Cross-sectional muscle area (CSMA) and bone parameters of radius (4% and 66% site) and tibia (66% site) were assessed using pQCT. Peak torque of biceps and quadriceps muscles was assessed by isokinetic dynamometry. Serum testosterone (T) and estradiol (E(2)) levels were measured using immunoassays; free hormone fractions were calculated. Relations between indices of bone strength, CSMA, muscle strength, and sex steroids were studied using linear mixed-effects modeling. Physical activity, CSMA, and muscle strength were positively associated with indices of bone strength, except for volumetric BMD (vBMD). After controlling for age, weight, and height, free E(2) levels were positively associated with trabecular and cortical vBMD, negatively associated with endosteal circumference at the radius, and positively associated with cortical vBMD at the tibia. In addition, positive interactions between physical activity and serum E(2) concentrations were observed for bone size at the tibia. No associations between free T levels and pQCT bone parameters were found. In this population of healthy men at the age of PBM, parameters reflecting mechanical loading are confirmed as important determinants of bone size. E(2), but not T, levels are positively associated with vBMD and modulate the impact of physical activity on bone size at the tibia.", "author" : [ { "dropping-particle" : "", "family" : "Lapauw", "given" : "Bruno M", "non-dropping-particle" : "", "parse-names" : false, "suffix" : "" }, { "dropping-particle" : "", "family" : "Taes", "given" : "Youri", "non-dropping-particle" : "", "parse-names" : false, "suffix" : "" }, { "dropping-particle" : "", "family" : "Bogaert", "given" : "Veerle", "non-dropping-particle" : "", "parse-names" : false, "suffix" : "" }, { "dropping-particle" : "", "family" : "Vanbillemont", "given" : "Griet", "non-dropping-particle" : "", "parse-names" : false, "suffix" : "" }, { "dropping-particle" : "", "family" : "Goemaere", "given" : "Stefan", "non-dropping-particle" : "", "parse-names" : false, "suffix" : "" }, { "dropping-particle" : "", "family" : "Zmierczak", "given" : "Hans-Georg", "non-dropping-particle" : "", "parse-names" : false, "suffix" : "" }, { "dropping-particle" : "", "family" : "Bacquer", "given" : "Dirk", "non-dropping-particle" : "De", "parse-names" : false, "suffix" : "" }, { "dropping-particle" : "", "family" : "Kaufman", "given" : "Jean-Marc", "non-dropping-particle" : "", "parse-names" : false, "suffix" : "" } ], "container-title" : "Journal of bone and mineral research : the official journal of the American Society for Bone and Mineral Research", "id" : "ITEM-5", "issue" : "6", "issued" : { "date-parts" : [ [ "2009" ] ] }, "page" : "1075-1085", "title" : "Serum estradiol is associated with volumetric BMD and modulates the impact of physical activity on bone size at the age of peak bone mass: a study in healthy male siblings.", "type" : "article-journal", "volume" : "24" }, "uris" : [ "http://www.mendeley.com/documents/?uuid=a072c302-9965-401c-81d4-2ecafcc4bfad" ] } ], "mendeley" : { "formattedCitation" : "(115\u2013119)", "plainTextFormattedCitation" : "(115\u2013119)", "previouslyFormattedCitation" : "(115\u2013119)" }, "properties" : { "noteIndex" : 0 }, "schema" : "https://github.com/citation-style-language/schema/raw/master/csl-citation.json" }</w:instrText>
      </w:r>
      <w:r w:rsidR="00432D93">
        <w:rPr>
          <w:lang w:val="en-GB"/>
        </w:rPr>
        <w:fldChar w:fldCharType="separate"/>
      </w:r>
      <w:r w:rsidR="00C7364E" w:rsidRPr="00C7364E">
        <w:rPr>
          <w:noProof/>
          <w:lang w:val="en-GB"/>
        </w:rPr>
        <w:t>(115–119)</w:t>
      </w:r>
      <w:r w:rsidR="00432D93">
        <w:rPr>
          <w:lang w:val="en-GB"/>
        </w:rPr>
        <w:fldChar w:fldCharType="end"/>
      </w:r>
      <w:r w:rsidR="00FB25FE">
        <w:rPr>
          <w:lang w:val="en-GB"/>
        </w:rPr>
        <w:t xml:space="preserve">. </w:t>
      </w:r>
    </w:p>
    <w:p w14:paraId="0437C124" w14:textId="77777777" w:rsidR="00960363" w:rsidRDefault="00960363" w:rsidP="00A76D73">
      <w:pPr>
        <w:spacing w:after="0" w:line="360" w:lineRule="auto"/>
        <w:rPr>
          <w:lang w:val="en-GB"/>
        </w:rPr>
      </w:pPr>
    </w:p>
    <w:p w14:paraId="69F93C5F" w14:textId="474275DC" w:rsidR="00960363" w:rsidRDefault="00960363" w:rsidP="00211A92">
      <w:pPr>
        <w:spacing w:after="0" w:line="360" w:lineRule="auto"/>
        <w:jc w:val="both"/>
        <w:rPr>
          <w:lang w:val="en-GB"/>
        </w:rPr>
      </w:pPr>
      <w:r>
        <w:rPr>
          <w:lang w:val="en-GB"/>
        </w:rPr>
        <w:t>Importantly, strength strain index increased at both radius (66%) and tibia (38%)</w:t>
      </w:r>
      <w:r w:rsidR="00EF1468">
        <w:rPr>
          <w:lang w:val="en-GB"/>
        </w:rPr>
        <w:t xml:space="preserve"> in both patient groups. However,</w:t>
      </w:r>
      <w:r>
        <w:rPr>
          <w:lang w:val="en-GB"/>
        </w:rPr>
        <w:t xml:space="preserve"> </w:t>
      </w:r>
      <w:r w:rsidR="00080958">
        <w:rPr>
          <w:lang w:val="en-GB"/>
        </w:rPr>
        <w:t>in MtF adolescents this increase was smaller than in age-matched male peers,</w:t>
      </w:r>
      <w:r w:rsidR="00441F12">
        <w:rPr>
          <w:lang w:val="en-GB"/>
        </w:rPr>
        <w:t xml:space="preserve"> in line with the above findings that </w:t>
      </w:r>
      <w:r w:rsidR="00080958">
        <w:rPr>
          <w:lang w:val="en-GB"/>
        </w:rPr>
        <w:t xml:space="preserve">CA during adolescence </w:t>
      </w:r>
      <w:r w:rsidR="00441F12">
        <w:rPr>
          <w:lang w:val="en-GB"/>
        </w:rPr>
        <w:t>negatively influence</w:t>
      </w:r>
      <w:r w:rsidR="004C4C65">
        <w:rPr>
          <w:lang w:val="en-GB"/>
        </w:rPr>
        <w:t>s</w:t>
      </w:r>
      <w:r w:rsidR="00441F12">
        <w:rPr>
          <w:lang w:val="en-GB"/>
        </w:rPr>
        <w:t xml:space="preserve"> </w:t>
      </w:r>
      <w:r w:rsidR="00080958">
        <w:rPr>
          <w:lang w:val="en-GB"/>
        </w:rPr>
        <w:t xml:space="preserve">bone development. </w:t>
      </w:r>
    </w:p>
    <w:p w14:paraId="25F0B8A5" w14:textId="17D7B30F" w:rsidR="00787EA9" w:rsidRDefault="00787EA9" w:rsidP="00211A92">
      <w:pPr>
        <w:spacing w:after="0" w:line="360" w:lineRule="auto"/>
        <w:jc w:val="both"/>
        <w:rPr>
          <w:lang w:val="en-GB"/>
        </w:rPr>
      </w:pPr>
      <w:r>
        <w:rPr>
          <w:lang w:val="en-GB"/>
        </w:rPr>
        <w:t>Overall, based on the results of DXA and pQCT scans, L does not seem to negatively impact bone mass accrual. In contrast, CA did negatively impact bone mass accrual</w:t>
      </w:r>
      <w:r w:rsidR="00DE5FCD">
        <w:rPr>
          <w:lang w:val="en-GB"/>
        </w:rPr>
        <w:t>, similar to GnRHa</w:t>
      </w:r>
      <w:r>
        <w:rPr>
          <w:lang w:val="en-GB"/>
        </w:rPr>
        <w:t xml:space="preserve"> and may warrant special attention during follow-up in prevention of osteoporosis in later life.</w:t>
      </w:r>
    </w:p>
    <w:p w14:paraId="48FD09E2" w14:textId="475E9157" w:rsidR="00EC438A" w:rsidRDefault="00EC438A" w:rsidP="00A76D73">
      <w:pPr>
        <w:spacing w:after="0" w:line="360" w:lineRule="auto"/>
        <w:rPr>
          <w:lang w:val="en-GB"/>
        </w:rPr>
      </w:pPr>
    </w:p>
    <w:p w14:paraId="11FA95B1" w14:textId="01194974" w:rsidR="00EC438A" w:rsidRDefault="00EC438A" w:rsidP="00211A92">
      <w:pPr>
        <w:spacing w:after="0" w:line="360" w:lineRule="auto"/>
        <w:jc w:val="both"/>
        <w:rPr>
          <w:lang w:val="en-GB"/>
        </w:rPr>
      </w:pPr>
      <w:r>
        <w:rPr>
          <w:lang w:val="en-GB"/>
        </w:rPr>
        <w:lastRenderedPageBreak/>
        <w:t xml:space="preserve">Strengths of this </w:t>
      </w:r>
      <w:r w:rsidR="00441F12">
        <w:rPr>
          <w:lang w:val="en-GB"/>
        </w:rPr>
        <w:t xml:space="preserve">prospective </w:t>
      </w:r>
      <w:r>
        <w:rPr>
          <w:lang w:val="en-GB"/>
        </w:rPr>
        <w:t xml:space="preserve">study </w:t>
      </w:r>
      <w:r w:rsidR="00441F12">
        <w:rPr>
          <w:lang w:val="en-GB"/>
        </w:rPr>
        <w:t xml:space="preserve">are </w:t>
      </w:r>
      <w:r>
        <w:rPr>
          <w:lang w:val="en-GB"/>
        </w:rPr>
        <w:t xml:space="preserve">the large cohort of </w:t>
      </w:r>
      <w:r w:rsidR="00441F12">
        <w:rPr>
          <w:lang w:val="en-GB"/>
        </w:rPr>
        <w:t xml:space="preserve">investigated </w:t>
      </w:r>
      <w:r>
        <w:rPr>
          <w:lang w:val="en-GB"/>
        </w:rPr>
        <w:t xml:space="preserve">adolescents </w:t>
      </w:r>
      <w:r w:rsidR="00441F12">
        <w:rPr>
          <w:lang w:val="en-GB"/>
        </w:rPr>
        <w:t>and the combination of DXA and pQCT technology</w:t>
      </w:r>
      <w:r>
        <w:rPr>
          <w:lang w:val="en-GB"/>
        </w:rPr>
        <w:t xml:space="preserve">, allowing a </w:t>
      </w:r>
      <w:r w:rsidR="00441F12">
        <w:rPr>
          <w:lang w:val="en-GB"/>
        </w:rPr>
        <w:t>more detailed</w:t>
      </w:r>
      <w:r>
        <w:rPr>
          <w:lang w:val="en-GB"/>
        </w:rPr>
        <w:t xml:space="preserve"> view on the effects of the progestins</w:t>
      </w:r>
      <w:r w:rsidR="00441F12">
        <w:rPr>
          <w:lang w:val="en-GB"/>
        </w:rPr>
        <w:t xml:space="preserve"> on trabecular and cortical bone, areal and volumetric BMD and body composition at the same time</w:t>
      </w:r>
      <w:r>
        <w:rPr>
          <w:lang w:val="en-GB"/>
        </w:rPr>
        <w:t xml:space="preserve">. However, at the time of analysis many adolescents </w:t>
      </w:r>
      <w:r w:rsidR="00441F12">
        <w:rPr>
          <w:lang w:val="en-GB"/>
        </w:rPr>
        <w:t xml:space="preserve">were not yet eligible for </w:t>
      </w:r>
      <w:r>
        <w:rPr>
          <w:lang w:val="en-GB"/>
        </w:rPr>
        <w:t>CSH</w:t>
      </w:r>
      <w:r w:rsidR="00441F12">
        <w:rPr>
          <w:lang w:val="en-GB"/>
        </w:rPr>
        <w:t xml:space="preserve"> and thus had not had their follow-up exam yet</w:t>
      </w:r>
      <w:r>
        <w:rPr>
          <w:lang w:val="en-GB"/>
        </w:rPr>
        <w:t>. Repeated analysis at a later time is therefore indicated for more robust evidence o</w:t>
      </w:r>
      <w:r w:rsidR="00A427CB">
        <w:rPr>
          <w:lang w:val="en-GB"/>
        </w:rPr>
        <w:t>n</w:t>
      </w:r>
      <w:r>
        <w:rPr>
          <w:lang w:val="en-GB"/>
        </w:rPr>
        <w:t xml:space="preserve"> the effects of the progestins</w:t>
      </w:r>
      <w:r w:rsidR="00441F12">
        <w:rPr>
          <w:lang w:val="en-GB"/>
        </w:rPr>
        <w:t>, especially in MtF adolescents</w:t>
      </w:r>
      <w:r>
        <w:rPr>
          <w:lang w:val="en-GB"/>
        </w:rPr>
        <w:t>.</w:t>
      </w:r>
    </w:p>
    <w:p w14:paraId="198DEE7E" w14:textId="418F13B6" w:rsidR="00C577A0" w:rsidRPr="00EC438A" w:rsidRDefault="00C577A0">
      <w:pPr>
        <w:rPr>
          <w:lang w:val="en-US"/>
        </w:rPr>
      </w:pPr>
      <w:r w:rsidRPr="00EC438A">
        <w:rPr>
          <w:lang w:val="en-US"/>
        </w:rPr>
        <w:br w:type="page"/>
      </w:r>
    </w:p>
    <w:p w14:paraId="0D41B849" w14:textId="77777777" w:rsidR="0081463F" w:rsidRDefault="0081463F" w:rsidP="00C942CA">
      <w:pPr>
        <w:pStyle w:val="Kop1"/>
        <w:rPr>
          <w:lang w:val="en-GB"/>
        </w:rPr>
      </w:pPr>
      <w:bookmarkStart w:id="71" w:name="_Toc451961527"/>
      <w:r w:rsidRPr="0081463F">
        <w:rPr>
          <w:lang w:val="en-GB"/>
        </w:rPr>
        <w:lastRenderedPageBreak/>
        <w:t>Conclusions</w:t>
      </w:r>
      <w:bookmarkEnd w:id="71"/>
    </w:p>
    <w:p w14:paraId="07B2F6B5" w14:textId="7E0E6F4E" w:rsidR="00971EE0" w:rsidRDefault="0081463F" w:rsidP="00971EE0">
      <w:pPr>
        <w:autoSpaceDE w:val="0"/>
        <w:autoSpaceDN w:val="0"/>
        <w:adjustRightInd w:val="0"/>
        <w:spacing w:after="0" w:line="360" w:lineRule="auto"/>
        <w:jc w:val="both"/>
        <w:rPr>
          <w:lang w:val="en-GB"/>
        </w:rPr>
      </w:pPr>
      <w:r w:rsidRPr="0081463F">
        <w:rPr>
          <w:lang w:val="en-GB"/>
        </w:rPr>
        <w:t>This study shows that treatment of FtM adolescents with</w:t>
      </w:r>
      <w:r>
        <w:rPr>
          <w:lang w:val="en-GB"/>
        </w:rPr>
        <w:t xml:space="preserve"> </w:t>
      </w:r>
      <w:r w:rsidRPr="0081463F">
        <w:rPr>
          <w:lang w:val="en-GB"/>
        </w:rPr>
        <w:t>L effectively and significantly decreases the overall estrogenic</w:t>
      </w:r>
      <w:r>
        <w:rPr>
          <w:lang w:val="en-GB"/>
        </w:rPr>
        <w:t xml:space="preserve"> </w:t>
      </w:r>
      <w:r w:rsidRPr="0081463F">
        <w:rPr>
          <w:lang w:val="en-GB"/>
        </w:rPr>
        <w:t>to androgenic ratio within 6 months and that it</w:t>
      </w:r>
      <w:r>
        <w:rPr>
          <w:lang w:val="en-GB"/>
        </w:rPr>
        <w:t xml:space="preserve"> </w:t>
      </w:r>
      <w:r w:rsidRPr="0081463F">
        <w:rPr>
          <w:lang w:val="en-GB"/>
        </w:rPr>
        <w:t>can be used as a safe and cheap alternative to GnRHa to</w:t>
      </w:r>
      <w:r>
        <w:rPr>
          <w:lang w:val="en-GB"/>
        </w:rPr>
        <w:t xml:space="preserve"> </w:t>
      </w:r>
      <w:r w:rsidR="007C2D22">
        <w:rPr>
          <w:lang w:val="en-GB"/>
        </w:rPr>
        <w:t>reduce the physical signs of female puberty and alleviate psychological burden</w:t>
      </w:r>
      <w:r w:rsidRPr="0081463F">
        <w:rPr>
          <w:lang w:val="en-GB"/>
        </w:rPr>
        <w:t xml:space="preserve">. </w:t>
      </w:r>
      <w:r>
        <w:rPr>
          <w:lang w:val="en-GB"/>
        </w:rPr>
        <w:t xml:space="preserve">However, </w:t>
      </w:r>
      <w:r w:rsidR="007C2D22">
        <w:rPr>
          <w:lang w:val="en-GB"/>
        </w:rPr>
        <w:t xml:space="preserve">a </w:t>
      </w:r>
      <w:r w:rsidR="008B4866">
        <w:rPr>
          <w:lang w:val="en-GB"/>
        </w:rPr>
        <w:t xml:space="preserve">daily dose of </w:t>
      </w:r>
      <w:r w:rsidR="00AE7A4C">
        <w:rPr>
          <w:lang w:val="en-GB"/>
        </w:rPr>
        <w:t>5mg</w:t>
      </w:r>
      <w:r>
        <w:rPr>
          <w:lang w:val="en-GB"/>
        </w:rPr>
        <w:t xml:space="preserve"> </w:t>
      </w:r>
      <w:r w:rsidR="00AE7A4C">
        <w:rPr>
          <w:lang w:val="en-GB"/>
        </w:rPr>
        <w:t>induced amenorrh</w:t>
      </w:r>
      <w:r w:rsidR="007C2D22">
        <w:rPr>
          <w:lang w:val="en-GB"/>
        </w:rPr>
        <w:t>ea in only 50% of participants</w:t>
      </w:r>
      <w:r>
        <w:rPr>
          <w:lang w:val="en-GB"/>
        </w:rPr>
        <w:t xml:space="preserve">. Doubling the dose to 10mg </w:t>
      </w:r>
      <w:r w:rsidR="008B4866">
        <w:rPr>
          <w:lang w:val="en-GB"/>
        </w:rPr>
        <w:t>daily</w:t>
      </w:r>
      <w:r>
        <w:rPr>
          <w:lang w:val="en-GB"/>
        </w:rPr>
        <w:t xml:space="preserve">, </w:t>
      </w:r>
      <w:r w:rsidR="007C2D22">
        <w:rPr>
          <w:lang w:val="en-GB"/>
        </w:rPr>
        <w:t>may be needed.</w:t>
      </w:r>
      <w:r w:rsidR="00AE7A4C">
        <w:rPr>
          <w:lang w:val="en-GB"/>
        </w:rPr>
        <w:t xml:space="preserve"> </w:t>
      </w:r>
      <w:r w:rsidR="00F022B0">
        <w:rPr>
          <w:lang w:val="en-GB"/>
        </w:rPr>
        <w:t xml:space="preserve">From our data, L </w:t>
      </w:r>
      <w:r w:rsidR="00AE7A4C">
        <w:rPr>
          <w:lang w:val="en-GB"/>
        </w:rPr>
        <w:t xml:space="preserve">induces changes </w:t>
      </w:r>
      <w:r w:rsidR="00F022B0">
        <w:rPr>
          <w:lang w:val="en-GB"/>
        </w:rPr>
        <w:t xml:space="preserve">towards the desired sex, such as an increase in lean </w:t>
      </w:r>
      <w:r w:rsidR="00AE7A4C">
        <w:rPr>
          <w:lang w:val="en-GB"/>
        </w:rPr>
        <w:t>body mass and musculature and a</w:t>
      </w:r>
      <w:r w:rsidR="00F022B0">
        <w:rPr>
          <w:lang w:val="en-GB"/>
        </w:rPr>
        <w:t xml:space="preserve"> </w:t>
      </w:r>
      <w:r w:rsidR="00AE7A4C">
        <w:rPr>
          <w:lang w:val="en-GB"/>
        </w:rPr>
        <w:t>stable</w:t>
      </w:r>
      <w:r w:rsidR="00F022B0">
        <w:rPr>
          <w:lang w:val="en-GB"/>
        </w:rPr>
        <w:t xml:space="preserve"> waist/hip ratio</w:t>
      </w:r>
      <w:r w:rsidR="00FE1E30">
        <w:rPr>
          <w:lang w:val="en-GB"/>
        </w:rPr>
        <w:t xml:space="preserve"> within one year of treatment</w:t>
      </w:r>
      <w:r w:rsidR="00AE7A4C">
        <w:rPr>
          <w:lang w:val="en-GB"/>
        </w:rPr>
        <w:t>.</w:t>
      </w:r>
      <w:r w:rsidR="00FE1E30">
        <w:rPr>
          <w:lang w:val="en-GB"/>
        </w:rPr>
        <w:t xml:space="preserve"> Bone mass accrual during L, was similar to their female peers, indicating that L, unlike GnRHa, does not negatively impact bone mass accrual.</w:t>
      </w:r>
      <w:r w:rsidR="00F022B0">
        <w:rPr>
          <w:lang w:val="en-GB"/>
        </w:rPr>
        <w:t xml:space="preserve"> </w:t>
      </w:r>
      <w:r w:rsidR="007C2D22">
        <w:rPr>
          <w:lang w:val="en-GB"/>
        </w:rPr>
        <w:t>Since</w:t>
      </w:r>
      <w:r w:rsidRPr="0081463F">
        <w:rPr>
          <w:lang w:val="en-GB"/>
        </w:rPr>
        <w:t xml:space="preserve"> </w:t>
      </w:r>
      <w:r w:rsidR="008B4866">
        <w:rPr>
          <w:lang w:val="en-GB"/>
        </w:rPr>
        <w:t>L</w:t>
      </w:r>
      <w:r w:rsidRPr="0081463F">
        <w:rPr>
          <w:lang w:val="en-GB"/>
        </w:rPr>
        <w:t xml:space="preserve"> </w:t>
      </w:r>
      <w:r w:rsidR="00F022B0">
        <w:rPr>
          <w:lang w:val="en-GB"/>
        </w:rPr>
        <w:t xml:space="preserve">does not fully suppress gonadotropins or endogenous estrogens, it will, in contrast to GnRHa, most likely not prevent the development of </w:t>
      </w:r>
      <w:r w:rsidRPr="0081463F">
        <w:rPr>
          <w:lang w:val="en-GB"/>
        </w:rPr>
        <w:t>secondary sex</w:t>
      </w:r>
      <w:r>
        <w:rPr>
          <w:lang w:val="en-GB"/>
        </w:rPr>
        <w:t xml:space="preserve"> </w:t>
      </w:r>
      <w:r w:rsidRPr="0081463F">
        <w:rPr>
          <w:lang w:val="en-GB"/>
        </w:rPr>
        <w:t>characteristics</w:t>
      </w:r>
      <w:r w:rsidR="003632B7">
        <w:rPr>
          <w:lang w:val="en-GB"/>
        </w:rPr>
        <w:t xml:space="preserve"> in early adolescents</w:t>
      </w:r>
      <w:r w:rsidRPr="0081463F">
        <w:rPr>
          <w:lang w:val="en-GB"/>
        </w:rPr>
        <w:t>. Therefore, L is specifically indicated in</w:t>
      </w:r>
      <w:r>
        <w:rPr>
          <w:lang w:val="en-GB"/>
        </w:rPr>
        <w:t xml:space="preserve"> </w:t>
      </w:r>
      <w:r w:rsidRPr="0081463F">
        <w:rPr>
          <w:lang w:val="en-GB"/>
        </w:rPr>
        <w:t>adolescents with advanced pubertal development</w:t>
      </w:r>
      <w:r w:rsidR="00BC1F92">
        <w:rPr>
          <w:lang w:val="en-GB"/>
        </w:rPr>
        <w:t>, especially</w:t>
      </w:r>
      <w:r w:rsidR="004C4C65">
        <w:rPr>
          <w:lang w:val="en-GB"/>
        </w:rPr>
        <w:t xml:space="preserve"> </w:t>
      </w:r>
      <w:r w:rsidRPr="0081463F">
        <w:rPr>
          <w:lang w:val="en-GB"/>
        </w:rPr>
        <w:t>in</w:t>
      </w:r>
      <w:r>
        <w:rPr>
          <w:lang w:val="en-GB"/>
        </w:rPr>
        <w:t xml:space="preserve"> </w:t>
      </w:r>
      <w:r w:rsidRPr="0081463F">
        <w:rPr>
          <w:lang w:val="en-GB"/>
        </w:rPr>
        <w:t>situations where GnRHa are not reimbursed, while they are awaiting eligibility</w:t>
      </w:r>
      <w:r>
        <w:rPr>
          <w:lang w:val="en-GB"/>
        </w:rPr>
        <w:t xml:space="preserve"> </w:t>
      </w:r>
      <w:r w:rsidRPr="0081463F">
        <w:rPr>
          <w:lang w:val="en-GB"/>
        </w:rPr>
        <w:t xml:space="preserve">for </w:t>
      </w:r>
      <w:r w:rsidR="00373A96">
        <w:rPr>
          <w:lang w:val="en-GB"/>
        </w:rPr>
        <w:t>CSH</w:t>
      </w:r>
      <w:r w:rsidRPr="0081463F">
        <w:rPr>
          <w:lang w:val="en-GB"/>
        </w:rPr>
        <w:t xml:space="preserve"> treatment.</w:t>
      </w:r>
      <w:r w:rsidR="001F04A3">
        <w:rPr>
          <w:lang w:val="en-GB"/>
        </w:rPr>
        <w:t xml:space="preserve"> </w:t>
      </w:r>
    </w:p>
    <w:p w14:paraId="23F1D931" w14:textId="1CB69FA3" w:rsidR="00F43858" w:rsidRDefault="00373A96" w:rsidP="00FE1E30">
      <w:pPr>
        <w:spacing w:after="0" w:line="360" w:lineRule="auto"/>
        <w:jc w:val="both"/>
        <w:rPr>
          <w:lang w:val="en-GB"/>
        </w:rPr>
      </w:pPr>
      <w:r>
        <w:rPr>
          <w:lang w:val="en-GB"/>
        </w:rPr>
        <w:t xml:space="preserve">Although CA does not fully suppress </w:t>
      </w:r>
      <w:r w:rsidR="00FA217F">
        <w:rPr>
          <w:lang w:val="en-GB"/>
        </w:rPr>
        <w:t>androgen</w:t>
      </w:r>
      <w:r>
        <w:rPr>
          <w:lang w:val="en-GB"/>
        </w:rPr>
        <w:t xml:space="preserve"> levels, it </w:t>
      </w:r>
      <w:r w:rsidR="004E0F6C">
        <w:rPr>
          <w:lang w:val="en-GB"/>
        </w:rPr>
        <w:t xml:space="preserve">effectively </w:t>
      </w:r>
      <w:r>
        <w:rPr>
          <w:lang w:val="en-GB"/>
        </w:rPr>
        <w:t>reduce</w:t>
      </w:r>
      <w:r w:rsidR="00AE7A4C">
        <w:rPr>
          <w:lang w:val="en-GB"/>
        </w:rPr>
        <w:t>s some o</w:t>
      </w:r>
      <w:r w:rsidR="001F04A3">
        <w:rPr>
          <w:lang w:val="en-GB"/>
        </w:rPr>
        <w:t>f</w:t>
      </w:r>
      <w:r>
        <w:rPr>
          <w:lang w:val="en-GB"/>
        </w:rPr>
        <w:t xml:space="preserve"> the effects of endogenous sex steroids</w:t>
      </w:r>
      <w:r w:rsidR="001F04A3">
        <w:rPr>
          <w:lang w:val="en-GB"/>
        </w:rPr>
        <w:t xml:space="preserve">, such as </w:t>
      </w:r>
      <w:r w:rsidR="00BC1F92">
        <w:rPr>
          <w:lang w:val="en-GB"/>
        </w:rPr>
        <w:t xml:space="preserve">growth of </w:t>
      </w:r>
      <w:r w:rsidR="001F04A3">
        <w:rPr>
          <w:lang w:val="en-GB"/>
        </w:rPr>
        <w:t>body hair and sexual arousa</w:t>
      </w:r>
      <w:r w:rsidR="00AE7A4C">
        <w:rPr>
          <w:lang w:val="en-GB"/>
        </w:rPr>
        <w:t>l</w:t>
      </w:r>
      <w:r w:rsidR="001F04A3">
        <w:rPr>
          <w:lang w:val="en-GB"/>
        </w:rPr>
        <w:t>. Other secondary sexual characteristics, e.g. voice timbre do not alter</w:t>
      </w:r>
      <w:r>
        <w:rPr>
          <w:lang w:val="en-GB"/>
        </w:rPr>
        <w:t>.</w:t>
      </w:r>
      <w:r w:rsidR="001F04A3">
        <w:rPr>
          <w:lang w:val="en-GB"/>
        </w:rPr>
        <w:t xml:space="preserve"> Limited </w:t>
      </w:r>
      <w:r w:rsidR="00AE7A4C">
        <w:rPr>
          <w:lang w:val="en-GB"/>
        </w:rPr>
        <w:t>bre</w:t>
      </w:r>
      <w:r w:rsidR="001F04A3">
        <w:rPr>
          <w:lang w:val="en-GB"/>
        </w:rPr>
        <w:t xml:space="preserve">ast development is noticed only in a minority of MtF under CA. </w:t>
      </w:r>
      <w:r w:rsidR="00BC1F92">
        <w:rPr>
          <w:lang w:val="en-GB"/>
        </w:rPr>
        <w:t>A</w:t>
      </w:r>
      <w:r w:rsidR="00FE1E30">
        <w:rPr>
          <w:lang w:val="en-GB"/>
        </w:rPr>
        <w:t xml:space="preserve"> more feminine body composition</w:t>
      </w:r>
      <w:r w:rsidR="00BC1F92">
        <w:rPr>
          <w:lang w:val="en-GB"/>
        </w:rPr>
        <w:t xml:space="preserve"> can be attained with CA</w:t>
      </w:r>
      <w:r w:rsidR="00FE1E30">
        <w:rPr>
          <w:lang w:val="en-GB"/>
        </w:rPr>
        <w:t xml:space="preserve">. </w:t>
      </w:r>
      <w:r w:rsidR="001F04A3">
        <w:rPr>
          <w:lang w:val="en-GB"/>
        </w:rPr>
        <w:t>Bone mass accrual s</w:t>
      </w:r>
      <w:r w:rsidR="00FE1E30">
        <w:rPr>
          <w:lang w:val="en-GB"/>
        </w:rPr>
        <w:t>eems to be negatively affected in the same extent or even more</w:t>
      </w:r>
      <w:r w:rsidR="001F04A3">
        <w:rPr>
          <w:lang w:val="en-GB"/>
        </w:rPr>
        <w:t xml:space="preserve"> than with GnRHa</w:t>
      </w:r>
      <w:r w:rsidR="00BC1F92">
        <w:rPr>
          <w:lang w:val="en-GB"/>
        </w:rPr>
        <w:t>, although the effect of lifestyle variables is currently unclear</w:t>
      </w:r>
      <w:r w:rsidR="001F04A3">
        <w:rPr>
          <w:lang w:val="en-GB"/>
        </w:rPr>
        <w:t>.</w:t>
      </w:r>
      <w:r>
        <w:rPr>
          <w:lang w:val="en-GB"/>
        </w:rPr>
        <w:t xml:space="preserve"> </w:t>
      </w:r>
      <w:r w:rsidR="00FE1E30">
        <w:rPr>
          <w:lang w:val="en-GB"/>
        </w:rPr>
        <w:t xml:space="preserve">These findings underscore the importance of adequate vitamin D and calcium intake as well as weight bearing exercise in all adolescents and especially in MtF </w:t>
      </w:r>
      <w:r w:rsidR="00F43858">
        <w:rPr>
          <w:lang w:val="en-GB"/>
        </w:rPr>
        <w:t xml:space="preserve">transgender </w:t>
      </w:r>
      <w:r w:rsidR="004C4C65">
        <w:rPr>
          <w:lang w:val="en-GB"/>
        </w:rPr>
        <w:t>adolescents</w:t>
      </w:r>
      <w:r w:rsidR="00FE1E30">
        <w:rPr>
          <w:lang w:val="en-GB"/>
        </w:rPr>
        <w:t xml:space="preserve">. </w:t>
      </w:r>
      <w:r w:rsidR="001F04A3">
        <w:rPr>
          <w:lang w:val="en-GB"/>
        </w:rPr>
        <w:t>C</w:t>
      </w:r>
      <w:r>
        <w:rPr>
          <w:lang w:val="en-GB"/>
        </w:rPr>
        <w:t xml:space="preserve">ompared to GnRHa, suppression of </w:t>
      </w:r>
      <w:r w:rsidR="001F04A3">
        <w:rPr>
          <w:lang w:val="en-GB"/>
        </w:rPr>
        <w:t xml:space="preserve">endogenous testosterone </w:t>
      </w:r>
      <w:r>
        <w:rPr>
          <w:lang w:val="en-GB"/>
        </w:rPr>
        <w:t>and gon</w:t>
      </w:r>
      <w:r w:rsidR="00356CDD">
        <w:rPr>
          <w:lang w:val="en-GB"/>
        </w:rPr>
        <w:t>a</w:t>
      </w:r>
      <w:r>
        <w:rPr>
          <w:lang w:val="en-GB"/>
        </w:rPr>
        <w:t>d</w:t>
      </w:r>
      <w:r w:rsidR="00356CDD">
        <w:rPr>
          <w:lang w:val="en-GB"/>
        </w:rPr>
        <w:t>o</w:t>
      </w:r>
      <w:r>
        <w:rPr>
          <w:lang w:val="en-GB"/>
        </w:rPr>
        <w:t>tropins is</w:t>
      </w:r>
      <w:r w:rsidR="006E005B">
        <w:rPr>
          <w:lang w:val="en-GB"/>
        </w:rPr>
        <w:t xml:space="preserve"> </w:t>
      </w:r>
      <w:r>
        <w:rPr>
          <w:lang w:val="en-GB"/>
        </w:rPr>
        <w:t>less effective</w:t>
      </w:r>
      <w:r w:rsidR="001F04A3">
        <w:rPr>
          <w:lang w:val="en-GB"/>
        </w:rPr>
        <w:t xml:space="preserve"> and CA can most likely not prevent the development of secondary sexual characteristics</w:t>
      </w:r>
      <w:r>
        <w:rPr>
          <w:lang w:val="en-GB"/>
        </w:rPr>
        <w:t xml:space="preserve">. </w:t>
      </w:r>
      <w:r w:rsidR="001F04A3">
        <w:rPr>
          <w:lang w:val="en-GB"/>
        </w:rPr>
        <w:t>T</w:t>
      </w:r>
      <w:r>
        <w:rPr>
          <w:lang w:val="en-GB"/>
        </w:rPr>
        <w:t>herefore</w:t>
      </w:r>
      <w:r w:rsidR="00223B9C">
        <w:rPr>
          <w:lang w:val="en-GB"/>
        </w:rPr>
        <w:t xml:space="preserve">, as L, it is specifically indicated </w:t>
      </w:r>
      <w:r>
        <w:rPr>
          <w:lang w:val="en-GB"/>
        </w:rPr>
        <w:t>in adolescents with already advanced pubertal development</w:t>
      </w:r>
      <w:r w:rsidR="004E0F6C">
        <w:rPr>
          <w:lang w:val="en-GB"/>
        </w:rPr>
        <w:t>,</w:t>
      </w:r>
      <w:r>
        <w:rPr>
          <w:lang w:val="en-GB"/>
        </w:rPr>
        <w:t xml:space="preserve"> </w:t>
      </w:r>
      <w:r w:rsidR="00223B9C">
        <w:rPr>
          <w:lang w:val="en-GB"/>
        </w:rPr>
        <w:t xml:space="preserve">in a setting </w:t>
      </w:r>
      <w:r>
        <w:rPr>
          <w:lang w:val="en-GB"/>
        </w:rPr>
        <w:t>where GnRHa are not reimbursed while awaiting eligibility for CSH treatment.</w:t>
      </w:r>
      <w:r w:rsidR="00AE7A4C">
        <w:rPr>
          <w:lang w:val="en-GB"/>
        </w:rPr>
        <w:t xml:space="preserve"> </w:t>
      </w:r>
    </w:p>
    <w:p w14:paraId="672DBD34" w14:textId="77777777" w:rsidR="00F43858" w:rsidRDefault="00F43858" w:rsidP="00FE1E30">
      <w:pPr>
        <w:spacing w:after="0" w:line="360" w:lineRule="auto"/>
        <w:jc w:val="both"/>
        <w:rPr>
          <w:lang w:val="en-GB"/>
        </w:rPr>
      </w:pPr>
    </w:p>
    <w:p w14:paraId="16D525BA" w14:textId="3A512732" w:rsidR="001F04A3" w:rsidRDefault="001F04A3" w:rsidP="00FE1E30">
      <w:pPr>
        <w:spacing w:after="0" w:line="360" w:lineRule="auto"/>
        <w:jc w:val="both"/>
        <w:rPr>
          <w:lang w:val="en-GB"/>
        </w:rPr>
      </w:pPr>
      <w:r>
        <w:rPr>
          <w:lang w:val="en-GB"/>
        </w:rPr>
        <w:t xml:space="preserve">Overall, the use of L and CA seems to be safe, both with regard to physical side effects and </w:t>
      </w:r>
      <w:r w:rsidR="00AE7A4C">
        <w:rPr>
          <w:lang w:val="en-GB"/>
        </w:rPr>
        <w:t xml:space="preserve">biochemical changes. </w:t>
      </w:r>
      <w:r>
        <w:rPr>
          <w:lang w:val="en-GB"/>
        </w:rPr>
        <w:t xml:space="preserve">After start of CSH therapy, physical </w:t>
      </w:r>
      <w:r w:rsidR="00BC1F92">
        <w:rPr>
          <w:lang w:val="en-GB"/>
        </w:rPr>
        <w:t xml:space="preserve">and biochemical </w:t>
      </w:r>
      <w:r>
        <w:rPr>
          <w:lang w:val="en-GB"/>
        </w:rPr>
        <w:t>chara</w:t>
      </w:r>
      <w:r w:rsidR="00AE7A4C">
        <w:rPr>
          <w:lang w:val="en-GB"/>
        </w:rPr>
        <w:t>c</w:t>
      </w:r>
      <w:r>
        <w:rPr>
          <w:lang w:val="en-GB"/>
        </w:rPr>
        <w:t>teristics of the desired sex appear rapidly, especially in FtM adolescents.</w:t>
      </w:r>
    </w:p>
    <w:p w14:paraId="636C620B" w14:textId="77777777" w:rsidR="00971EE0" w:rsidRDefault="00971EE0" w:rsidP="008B4866">
      <w:pPr>
        <w:spacing w:after="0" w:line="360" w:lineRule="auto"/>
        <w:rPr>
          <w:lang w:val="en-GB"/>
        </w:rPr>
      </w:pPr>
    </w:p>
    <w:p w14:paraId="763257F4" w14:textId="77777777" w:rsidR="008B4866" w:rsidRDefault="008B4866">
      <w:pPr>
        <w:rPr>
          <w:lang w:val="en-GB"/>
        </w:rPr>
      </w:pPr>
      <w:r>
        <w:rPr>
          <w:lang w:val="en-GB"/>
        </w:rPr>
        <w:br w:type="page"/>
      </w:r>
    </w:p>
    <w:p w14:paraId="04651AEA" w14:textId="4A5E7D6B" w:rsidR="00B03E48" w:rsidRPr="00D4001A" w:rsidRDefault="00B03E48" w:rsidP="00C942CA">
      <w:pPr>
        <w:pStyle w:val="Kop1"/>
        <w:rPr>
          <w:lang w:val="en-GB"/>
        </w:rPr>
      </w:pPr>
      <w:bookmarkStart w:id="72" w:name="_Toc451961528"/>
      <w:r w:rsidRPr="00D4001A">
        <w:rPr>
          <w:lang w:val="en-GB"/>
        </w:rPr>
        <w:lastRenderedPageBreak/>
        <w:t>Perspectives for further research</w:t>
      </w:r>
      <w:bookmarkEnd w:id="72"/>
    </w:p>
    <w:p w14:paraId="35C62C72" w14:textId="16472D94" w:rsidR="00AE1F89" w:rsidRDefault="00AE1F89" w:rsidP="00F43858">
      <w:pPr>
        <w:spacing w:after="0" w:line="360" w:lineRule="auto"/>
        <w:jc w:val="both"/>
        <w:rPr>
          <w:lang w:val="en-GB"/>
        </w:rPr>
      </w:pPr>
      <w:r>
        <w:rPr>
          <w:lang w:val="en-GB"/>
        </w:rPr>
        <w:t>Few studies have been performed t</w:t>
      </w:r>
      <w:r w:rsidR="00413783">
        <w:rPr>
          <w:lang w:val="en-GB"/>
        </w:rPr>
        <w:t>hat</w:t>
      </w:r>
      <w:r>
        <w:rPr>
          <w:lang w:val="en-GB"/>
        </w:rPr>
        <w:t xml:space="preserve"> evaluate the effects of treatment in </w:t>
      </w:r>
      <w:r w:rsidR="00413783">
        <w:rPr>
          <w:lang w:val="en-GB"/>
        </w:rPr>
        <w:t xml:space="preserve">transgender </w:t>
      </w:r>
      <w:r>
        <w:rPr>
          <w:lang w:val="en-GB"/>
        </w:rPr>
        <w:t xml:space="preserve">adolescents. Since </w:t>
      </w:r>
      <w:r w:rsidR="00B6461C">
        <w:rPr>
          <w:lang w:val="en-GB"/>
        </w:rPr>
        <w:t>an increasing number of</w:t>
      </w:r>
      <w:r w:rsidR="00EA53A7">
        <w:rPr>
          <w:lang w:val="en-GB"/>
        </w:rPr>
        <w:t xml:space="preserve"> individuals present at young age, </w:t>
      </w:r>
      <w:r w:rsidR="00B6461C">
        <w:rPr>
          <w:lang w:val="en-GB"/>
        </w:rPr>
        <w:t xml:space="preserve">treatment is often initiated from early puberty </w:t>
      </w:r>
      <w:r w:rsidR="00EA53A7">
        <w:rPr>
          <w:lang w:val="en-GB"/>
        </w:rPr>
        <w:t>onwards. This will facilitate and also necessitate s</w:t>
      </w:r>
      <w:r>
        <w:rPr>
          <w:lang w:val="en-GB"/>
        </w:rPr>
        <w:t>tudies of very long follow-up to assess the long term effects of treatment</w:t>
      </w:r>
      <w:r w:rsidR="00EA53A7">
        <w:rPr>
          <w:lang w:val="en-GB"/>
        </w:rPr>
        <w:t xml:space="preserve">, </w:t>
      </w:r>
      <w:r w:rsidR="00413783">
        <w:rPr>
          <w:lang w:val="en-GB"/>
        </w:rPr>
        <w:t>e.g. with regard to metabolic outcome</w:t>
      </w:r>
      <w:r>
        <w:rPr>
          <w:lang w:val="en-GB"/>
        </w:rPr>
        <w:t xml:space="preserve">. At this time, no major adverse events have been recorded in adolescents, but </w:t>
      </w:r>
      <w:r w:rsidR="00EA53A7">
        <w:rPr>
          <w:lang w:val="en-GB"/>
        </w:rPr>
        <w:t xml:space="preserve">side effects occurring </w:t>
      </w:r>
      <w:r w:rsidR="00413783">
        <w:rPr>
          <w:lang w:val="en-GB"/>
        </w:rPr>
        <w:t>in later adulthood</w:t>
      </w:r>
      <w:r w:rsidR="00EA53A7">
        <w:rPr>
          <w:lang w:val="en-GB"/>
        </w:rPr>
        <w:t xml:space="preserve"> - </w:t>
      </w:r>
      <w:r>
        <w:rPr>
          <w:lang w:val="en-GB"/>
        </w:rPr>
        <w:t>such as tumors or cardiovascular disease</w:t>
      </w:r>
      <w:r w:rsidR="00EA53A7">
        <w:rPr>
          <w:lang w:val="en-GB"/>
        </w:rPr>
        <w:t xml:space="preserve"> -</w:t>
      </w:r>
      <w:r>
        <w:rPr>
          <w:lang w:val="en-GB"/>
        </w:rPr>
        <w:t xml:space="preserve"> might </w:t>
      </w:r>
      <w:r w:rsidR="00EA53A7">
        <w:rPr>
          <w:lang w:val="en-GB"/>
        </w:rPr>
        <w:t xml:space="preserve">be the cause of premature death or iatrogenic loss of quality of life. </w:t>
      </w:r>
      <w:r w:rsidR="00413783">
        <w:rPr>
          <w:lang w:val="en-GB"/>
        </w:rPr>
        <w:t xml:space="preserve">Cross-sectional and, even better, long-term prospective </w:t>
      </w:r>
      <w:r w:rsidR="00B6461C">
        <w:rPr>
          <w:lang w:val="en-GB"/>
        </w:rPr>
        <w:t>studies would also be able to diminish bias</w:t>
      </w:r>
      <w:r w:rsidR="005B1CFF">
        <w:rPr>
          <w:lang w:val="en-GB"/>
        </w:rPr>
        <w:t>es</w:t>
      </w:r>
      <w:r w:rsidR="00B6461C">
        <w:rPr>
          <w:lang w:val="en-GB"/>
        </w:rPr>
        <w:t xml:space="preserve"> and </w:t>
      </w:r>
      <w:r w:rsidR="005B1CFF">
        <w:rPr>
          <w:lang w:val="en-GB"/>
        </w:rPr>
        <w:t>provide more solid evidence than individually reported</w:t>
      </w:r>
      <w:r w:rsidR="00B6461C">
        <w:rPr>
          <w:lang w:val="en-GB"/>
        </w:rPr>
        <w:t xml:space="preserve"> </w:t>
      </w:r>
      <w:r w:rsidR="005B1CFF">
        <w:rPr>
          <w:lang w:val="en-GB"/>
        </w:rPr>
        <w:t>events</w:t>
      </w:r>
      <w:r w:rsidR="00B6461C">
        <w:rPr>
          <w:lang w:val="en-GB"/>
        </w:rPr>
        <w:t>.</w:t>
      </w:r>
      <w:r>
        <w:rPr>
          <w:lang w:val="en-GB"/>
        </w:rPr>
        <w:t xml:space="preserve"> </w:t>
      </w:r>
      <w:r w:rsidR="009A2C79">
        <w:rPr>
          <w:lang w:val="en-GB"/>
        </w:rPr>
        <w:t xml:space="preserve">Studies assessing cardiovascular outcome after at least ten years of treatment </w:t>
      </w:r>
      <w:r w:rsidR="00413783">
        <w:rPr>
          <w:lang w:val="en-GB"/>
        </w:rPr>
        <w:t>or longer</w:t>
      </w:r>
      <w:r w:rsidR="00EA53A7">
        <w:rPr>
          <w:lang w:val="en-GB"/>
        </w:rPr>
        <w:t xml:space="preserve"> </w:t>
      </w:r>
      <w:r w:rsidR="00413783">
        <w:rPr>
          <w:lang w:val="en-GB"/>
        </w:rPr>
        <w:t xml:space="preserve">may be more informative regarding </w:t>
      </w:r>
      <w:r w:rsidR="005B0972">
        <w:rPr>
          <w:lang w:val="en-GB"/>
        </w:rPr>
        <w:t xml:space="preserve">safety of </w:t>
      </w:r>
      <w:r w:rsidR="005B1CFF">
        <w:rPr>
          <w:lang w:val="en-GB"/>
        </w:rPr>
        <w:t>treatment</w:t>
      </w:r>
      <w:r w:rsidR="005B0972">
        <w:rPr>
          <w:lang w:val="en-GB"/>
        </w:rPr>
        <w:t>.</w:t>
      </w:r>
    </w:p>
    <w:p w14:paraId="0EA3D60D" w14:textId="10C14AAF" w:rsidR="005B0972" w:rsidRDefault="005B0972" w:rsidP="00F43858">
      <w:pPr>
        <w:spacing w:after="0" w:line="360" w:lineRule="auto"/>
        <w:jc w:val="both"/>
        <w:rPr>
          <w:lang w:val="en-GB"/>
        </w:rPr>
      </w:pPr>
      <w:r>
        <w:rPr>
          <w:lang w:val="en-GB"/>
        </w:rPr>
        <w:t xml:space="preserve">We have concluded that treatment with progestins is safe and effective in adolescents with advanced pubertal development, which justifies setting up randomised trials </w:t>
      </w:r>
      <w:r w:rsidR="00EA53A7">
        <w:rPr>
          <w:lang w:val="en-GB"/>
        </w:rPr>
        <w:t xml:space="preserve">comparing </w:t>
      </w:r>
      <w:r>
        <w:rPr>
          <w:lang w:val="en-GB"/>
        </w:rPr>
        <w:t xml:space="preserve">progestins </w:t>
      </w:r>
      <w:r w:rsidR="00EA53A7">
        <w:rPr>
          <w:lang w:val="en-GB"/>
        </w:rPr>
        <w:t>with</w:t>
      </w:r>
      <w:r>
        <w:rPr>
          <w:lang w:val="en-GB"/>
        </w:rPr>
        <w:t xml:space="preserve"> GnRHa in adolescents </w:t>
      </w:r>
      <w:r w:rsidR="00EA53A7">
        <w:rPr>
          <w:lang w:val="en-GB"/>
        </w:rPr>
        <w:t>(</w:t>
      </w:r>
      <w:r>
        <w:rPr>
          <w:lang w:val="en-GB"/>
        </w:rPr>
        <w:t>with advanced pubertal development</w:t>
      </w:r>
      <w:r w:rsidR="00EA53A7">
        <w:rPr>
          <w:lang w:val="en-GB"/>
        </w:rPr>
        <w:t>)</w:t>
      </w:r>
      <w:r w:rsidR="00413783">
        <w:rPr>
          <w:lang w:val="en-GB"/>
        </w:rPr>
        <w:t xml:space="preserve"> with regard to physical and biochemical changes as well as psychological outcome</w:t>
      </w:r>
      <w:r>
        <w:rPr>
          <w:lang w:val="en-GB"/>
        </w:rPr>
        <w:t xml:space="preserve">. This type of study </w:t>
      </w:r>
      <w:r w:rsidR="00413783">
        <w:rPr>
          <w:lang w:val="en-GB"/>
        </w:rPr>
        <w:t>will allow to determine the exact place of progestins for the treatment of transgender adolescents, and might even</w:t>
      </w:r>
      <w:r w:rsidR="005B1CFF">
        <w:rPr>
          <w:lang w:val="en-GB"/>
        </w:rPr>
        <w:t xml:space="preserve"> allow progestins to</w:t>
      </w:r>
      <w:r w:rsidR="00EA53A7">
        <w:rPr>
          <w:lang w:val="en-GB"/>
        </w:rPr>
        <w:t xml:space="preserve"> become the first choice of treatment, which will</w:t>
      </w:r>
      <w:r>
        <w:rPr>
          <w:lang w:val="en-GB"/>
        </w:rPr>
        <w:t xml:space="preserve"> reduce the total cost of treatment for society or the </w:t>
      </w:r>
      <w:r w:rsidR="00EA53A7">
        <w:rPr>
          <w:lang w:val="en-GB"/>
        </w:rPr>
        <w:t>adolescent</w:t>
      </w:r>
      <w:r w:rsidR="005B1CFF">
        <w:rPr>
          <w:lang w:val="en-GB"/>
        </w:rPr>
        <w:t>s</w:t>
      </w:r>
      <w:r>
        <w:rPr>
          <w:lang w:val="en-GB"/>
        </w:rPr>
        <w:t xml:space="preserve">. </w:t>
      </w:r>
    </w:p>
    <w:p w14:paraId="3BDF30DA" w14:textId="7C89EAB1" w:rsidR="005B0972" w:rsidRDefault="001E2B2A" w:rsidP="00F43858">
      <w:pPr>
        <w:spacing w:after="0" w:line="360" w:lineRule="auto"/>
        <w:jc w:val="both"/>
        <w:rPr>
          <w:lang w:val="en-GB"/>
        </w:rPr>
      </w:pPr>
      <w:r>
        <w:rPr>
          <w:lang w:val="en-GB"/>
        </w:rPr>
        <w:t>The effect of any treatment (progestins or GnRHa) on bone mass development</w:t>
      </w:r>
      <w:r w:rsidR="004F5998">
        <w:rPr>
          <w:lang w:val="en-GB"/>
        </w:rPr>
        <w:t xml:space="preserve"> in transgender adolesc</w:t>
      </w:r>
      <w:r>
        <w:rPr>
          <w:lang w:val="en-GB"/>
        </w:rPr>
        <w:t>e</w:t>
      </w:r>
      <w:r w:rsidR="004F5998">
        <w:rPr>
          <w:lang w:val="en-GB"/>
        </w:rPr>
        <w:t>n</w:t>
      </w:r>
      <w:r>
        <w:rPr>
          <w:lang w:val="en-GB"/>
        </w:rPr>
        <w:t>ts remains a matter of concern, especially in MtF. More, longer and also more detailed studies, assessing the possible effects of life style and reversibility of changes after addition of CSH to the therapy</w:t>
      </w:r>
      <w:r w:rsidR="004F5998">
        <w:rPr>
          <w:lang w:val="en-GB"/>
        </w:rPr>
        <w:t xml:space="preserve"> </w:t>
      </w:r>
      <w:r>
        <w:rPr>
          <w:lang w:val="en-GB"/>
        </w:rPr>
        <w:t xml:space="preserve">are needed here. </w:t>
      </w:r>
    </w:p>
    <w:p w14:paraId="5F336BD6" w14:textId="77777777" w:rsidR="00F43858" w:rsidRDefault="00F43858" w:rsidP="00CC4EFB">
      <w:pPr>
        <w:spacing w:after="0" w:line="360" w:lineRule="auto"/>
        <w:rPr>
          <w:lang w:val="en-GB"/>
        </w:rPr>
      </w:pPr>
    </w:p>
    <w:p w14:paraId="3DCE65E2" w14:textId="25B91D6F" w:rsidR="00483CBF" w:rsidRDefault="00F43858" w:rsidP="00CC4EFB">
      <w:pPr>
        <w:spacing w:after="0" w:line="360" w:lineRule="auto"/>
        <w:rPr>
          <w:lang w:val="en-GB"/>
        </w:rPr>
      </w:pPr>
      <w:r>
        <w:rPr>
          <w:lang w:val="en-GB"/>
        </w:rPr>
        <w:t>In conclusion, t</w:t>
      </w:r>
      <w:r w:rsidR="00483CBF">
        <w:rPr>
          <w:lang w:val="en-GB"/>
        </w:rPr>
        <w:t>his study is just the tip of the iceberg</w:t>
      </w:r>
      <w:r w:rsidR="00C50CBF">
        <w:rPr>
          <w:lang w:val="en-GB"/>
        </w:rPr>
        <w:t xml:space="preserve"> of studies</w:t>
      </w:r>
      <w:r w:rsidR="00483CBF">
        <w:rPr>
          <w:lang w:val="en-GB"/>
        </w:rPr>
        <w:t xml:space="preserve"> needed to fully understand the effects of treatment of GD. </w:t>
      </w:r>
      <w:r w:rsidR="00C50CBF">
        <w:rPr>
          <w:lang w:val="en-GB"/>
        </w:rPr>
        <w:t xml:space="preserve">Many studies are </w:t>
      </w:r>
      <w:r w:rsidR="004F5998">
        <w:rPr>
          <w:lang w:val="en-GB"/>
        </w:rPr>
        <w:t>conceivable</w:t>
      </w:r>
      <w:r w:rsidR="00C50CBF">
        <w:rPr>
          <w:lang w:val="en-GB"/>
        </w:rPr>
        <w:t>, studying a multitude of different aspects of GD as a perhaps peculiar gender identity or clinically entity which needs pharmacological support.</w:t>
      </w:r>
    </w:p>
    <w:p w14:paraId="32275F80" w14:textId="77777777" w:rsidR="00C942CA" w:rsidRDefault="00C942CA">
      <w:pPr>
        <w:rPr>
          <w:rFonts w:asciiTheme="majorHAnsi" w:eastAsiaTheme="majorEastAsia" w:hAnsiTheme="majorHAnsi" w:cstheme="majorBidi"/>
          <w:b/>
          <w:bCs/>
          <w:color w:val="365F91" w:themeColor="accent1" w:themeShade="BF"/>
          <w:sz w:val="28"/>
          <w:szCs w:val="28"/>
          <w:lang w:val="en-GB"/>
        </w:rPr>
      </w:pPr>
      <w:r>
        <w:rPr>
          <w:lang w:val="en-GB"/>
        </w:rPr>
        <w:br w:type="page"/>
      </w:r>
    </w:p>
    <w:p w14:paraId="2B878785" w14:textId="60711112" w:rsidR="00164E75" w:rsidRPr="004E0F6C" w:rsidRDefault="00164E75" w:rsidP="00C942CA">
      <w:pPr>
        <w:pStyle w:val="Kop1"/>
        <w:rPr>
          <w:lang w:val="en-US"/>
        </w:rPr>
      </w:pPr>
      <w:bookmarkStart w:id="73" w:name="_Toc451961529"/>
      <w:r w:rsidRPr="004E0F6C">
        <w:rPr>
          <w:lang w:val="en-US"/>
        </w:rPr>
        <w:lastRenderedPageBreak/>
        <w:t>Abbreviations</w:t>
      </w:r>
      <w:bookmarkEnd w:id="73"/>
    </w:p>
    <w:tbl>
      <w:tblPr>
        <w:tblStyle w:val="Onopgemaaktetabel51"/>
        <w:tblW w:w="7153" w:type="dxa"/>
        <w:tblLook w:val="04A0" w:firstRow="1" w:lastRow="0" w:firstColumn="1" w:lastColumn="0" w:noHBand="0" w:noVBand="1"/>
      </w:tblPr>
      <w:tblGrid>
        <w:gridCol w:w="1571"/>
        <w:gridCol w:w="5582"/>
      </w:tblGrid>
      <w:tr w:rsidR="00EB2E83" w:rsidRPr="004E0F6C" w14:paraId="7E27A08F" w14:textId="77777777" w:rsidTr="00513D1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571" w:type="dxa"/>
            <w:noWrap/>
            <w:hideMark/>
          </w:tcPr>
          <w:p w14:paraId="71E73CFF" w14:textId="787885B4" w:rsidR="00EB2E83" w:rsidRPr="004E0F6C" w:rsidRDefault="00EB2E83" w:rsidP="00E6425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Abbreviation</w:t>
            </w:r>
          </w:p>
        </w:tc>
        <w:tc>
          <w:tcPr>
            <w:tcW w:w="5582" w:type="dxa"/>
            <w:noWrap/>
            <w:hideMark/>
          </w:tcPr>
          <w:p w14:paraId="4F1BF234" w14:textId="333F21A0" w:rsidR="00EB2E83" w:rsidRPr="004E0F6C" w:rsidRDefault="00EB2E83" w:rsidP="00E6425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Meaning</w:t>
            </w:r>
          </w:p>
        </w:tc>
      </w:tr>
      <w:tr w:rsidR="00EB2E83" w:rsidRPr="004E0F6C" w14:paraId="4F5E01D3" w14:textId="77777777" w:rsidTr="00513D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7EE6DA37" w14:textId="77777777" w:rsidR="00EB2E83" w:rsidRPr="004E0F6C" w:rsidRDefault="00EB2E83" w:rsidP="00E6425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aBMC</w:t>
            </w:r>
          </w:p>
        </w:tc>
        <w:tc>
          <w:tcPr>
            <w:tcW w:w="5582" w:type="dxa"/>
            <w:noWrap/>
            <w:hideMark/>
          </w:tcPr>
          <w:p w14:paraId="794E63F7" w14:textId="77777777" w:rsidR="00EB2E83" w:rsidRPr="004E0F6C" w:rsidRDefault="00EB2E83" w:rsidP="00E642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areal Bone Mineral Content</w:t>
            </w:r>
          </w:p>
        </w:tc>
      </w:tr>
      <w:tr w:rsidR="00EB2E83" w:rsidRPr="004E0F6C" w14:paraId="301E286C" w14:textId="77777777" w:rsidTr="00513D18">
        <w:trPr>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47AE64D2"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aBMD</w:t>
            </w:r>
          </w:p>
        </w:tc>
        <w:tc>
          <w:tcPr>
            <w:tcW w:w="5582" w:type="dxa"/>
            <w:noWrap/>
            <w:hideMark/>
          </w:tcPr>
          <w:p w14:paraId="085E98F2" w14:textId="77777777" w:rsidR="00EB2E83" w:rsidRPr="004E0F6C" w:rsidRDefault="00EB2E83" w:rsidP="00EB2E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areal Bone Mineral Density</w:t>
            </w:r>
          </w:p>
        </w:tc>
      </w:tr>
      <w:tr w:rsidR="00EB2E83" w:rsidRPr="004E0F6C" w14:paraId="7DB11AA5" w14:textId="77777777" w:rsidTr="00513D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241BFE06"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ALT</w:t>
            </w:r>
          </w:p>
        </w:tc>
        <w:tc>
          <w:tcPr>
            <w:tcW w:w="5582" w:type="dxa"/>
            <w:noWrap/>
            <w:hideMark/>
          </w:tcPr>
          <w:p w14:paraId="60ECF648" w14:textId="77777777" w:rsidR="00EB2E83" w:rsidRPr="004E0F6C" w:rsidRDefault="00EB2E83" w:rsidP="00EB2E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Alanine aminotransferase</w:t>
            </w:r>
          </w:p>
        </w:tc>
      </w:tr>
      <w:tr w:rsidR="00EB2E83" w:rsidRPr="004E0F6C" w14:paraId="6A747029" w14:textId="77777777" w:rsidTr="00513D18">
        <w:trPr>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0E581AC4"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AMH</w:t>
            </w:r>
          </w:p>
        </w:tc>
        <w:tc>
          <w:tcPr>
            <w:tcW w:w="5582" w:type="dxa"/>
            <w:noWrap/>
            <w:hideMark/>
          </w:tcPr>
          <w:p w14:paraId="65077731" w14:textId="77777777" w:rsidR="00EB2E83" w:rsidRPr="004E0F6C" w:rsidRDefault="00EB2E83" w:rsidP="00EB2E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Anti-Müllerian Hormone</w:t>
            </w:r>
          </w:p>
        </w:tc>
      </w:tr>
      <w:tr w:rsidR="00EB2E83" w:rsidRPr="004E0F6C" w14:paraId="35823456" w14:textId="77777777" w:rsidTr="00513D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0FFFBB2D"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AST</w:t>
            </w:r>
          </w:p>
        </w:tc>
        <w:tc>
          <w:tcPr>
            <w:tcW w:w="5582" w:type="dxa"/>
            <w:noWrap/>
            <w:hideMark/>
          </w:tcPr>
          <w:p w14:paraId="60BC5E80" w14:textId="77777777" w:rsidR="00EB2E83" w:rsidRPr="004E0F6C" w:rsidRDefault="00EB2E83" w:rsidP="00EB2E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Aspartate aminotransferase</w:t>
            </w:r>
          </w:p>
        </w:tc>
      </w:tr>
      <w:tr w:rsidR="00EB2E83" w:rsidRPr="002A729A" w14:paraId="637A2B85" w14:textId="77777777" w:rsidTr="00513D18">
        <w:trPr>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5F1E86EE" w14:textId="6297DF7E"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C</w:t>
            </w:r>
            <w:r w:rsidR="00F310DF">
              <w:rPr>
                <w:rFonts w:ascii="Calibri" w:eastAsia="Times New Roman" w:hAnsi="Calibri" w:cs="Times New Roman"/>
                <w:color w:val="000000"/>
                <w:lang w:val="en-US"/>
              </w:rPr>
              <w:t>A</w:t>
            </w:r>
            <w:r w:rsidRPr="004E0F6C">
              <w:rPr>
                <w:rFonts w:ascii="Calibri" w:eastAsia="Times New Roman" w:hAnsi="Calibri" w:cs="Times New Roman"/>
                <w:color w:val="000000"/>
                <w:lang w:val="en-US"/>
              </w:rPr>
              <w:t>+E</w:t>
            </w:r>
          </w:p>
        </w:tc>
        <w:tc>
          <w:tcPr>
            <w:tcW w:w="5582" w:type="dxa"/>
            <w:noWrap/>
            <w:hideMark/>
          </w:tcPr>
          <w:p w14:paraId="312B4170" w14:textId="77777777" w:rsidR="00EB2E83" w:rsidRPr="004E0F6C" w:rsidRDefault="00EB2E83" w:rsidP="00EB2E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Cyproterone Acetate and 17β-estradiol (combination therapy)</w:t>
            </w:r>
          </w:p>
        </w:tc>
      </w:tr>
      <w:tr w:rsidR="00EB2E83" w:rsidRPr="004E0F6C" w14:paraId="08DF4B1A" w14:textId="77777777" w:rsidTr="00513D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60E4723E"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CA</w:t>
            </w:r>
          </w:p>
        </w:tc>
        <w:tc>
          <w:tcPr>
            <w:tcW w:w="5582" w:type="dxa"/>
            <w:noWrap/>
            <w:hideMark/>
          </w:tcPr>
          <w:p w14:paraId="36FFA810" w14:textId="77777777" w:rsidR="00EB2E83" w:rsidRPr="004E0F6C" w:rsidRDefault="00EB2E83" w:rsidP="00EB2E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Cyproterone Acetate</w:t>
            </w:r>
          </w:p>
        </w:tc>
      </w:tr>
      <w:tr w:rsidR="00EB2E83" w:rsidRPr="004E0F6C" w14:paraId="6CDF8343" w14:textId="77777777" w:rsidTr="00513D18">
        <w:trPr>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7950DD63"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CSH</w:t>
            </w:r>
          </w:p>
        </w:tc>
        <w:tc>
          <w:tcPr>
            <w:tcW w:w="5582" w:type="dxa"/>
            <w:noWrap/>
            <w:hideMark/>
          </w:tcPr>
          <w:p w14:paraId="2E4A20F8" w14:textId="77777777" w:rsidR="00EB2E83" w:rsidRPr="004E0F6C" w:rsidRDefault="00EB2E83" w:rsidP="00EB2E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Cross-Sex Hormones</w:t>
            </w:r>
          </w:p>
        </w:tc>
      </w:tr>
      <w:tr w:rsidR="00EB2E83" w:rsidRPr="004E0F6C" w14:paraId="62A84E9A" w14:textId="77777777" w:rsidTr="00513D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55BB91E2"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D4</w:t>
            </w:r>
          </w:p>
        </w:tc>
        <w:tc>
          <w:tcPr>
            <w:tcW w:w="5582" w:type="dxa"/>
            <w:noWrap/>
            <w:hideMark/>
          </w:tcPr>
          <w:p w14:paraId="17D85E5A" w14:textId="77777777" w:rsidR="00EB2E83" w:rsidRPr="004E0F6C" w:rsidRDefault="00EB2E83" w:rsidP="00EB2E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Δ4 Androstenedione</w:t>
            </w:r>
          </w:p>
        </w:tc>
      </w:tr>
      <w:tr w:rsidR="00EB2E83" w:rsidRPr="004E0F6C" w14:paraId="0FF1A5FC" w14:textId="77777777" w:rsidTr="00513D18">
        <w:trPr>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6DDC54B7"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DHEAS</w:t>
            </w:r>
          </w:p>
        </w:tc>
        <w:tc>
          <w:tcPr>
            <w:tcW w:w="5582" w:type="dxa"/>
            <w:noWrap/>
            <w:hideMark/>
          </w:tcPr>
          <w:p w14:paraId="38AAEA77" w14:textId="77777777" w:rsidR="00EB2E83" w:rsidRPr="004E0F6C" w:rsidRDefault="00EB2E83" w:rsidP="00EB2E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Dehydroepiandosterone Sulfate</w:t>
            </w:r>
          </w:p>
        </w:tc>
      </w:tr>
      <w:tr w:rsidR="00EB2E83" w:rsidRPr="002A729A" w14:paraId="4AB2049B" w14:textId="77777777" w:rsidTr="00513D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692799C8"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DP1</w:t>
            </w:r>
          </w:p>
        </w:tc>
        <w:tc>
          <w:tcPr>
            <w:tcW w:w="5582" w:type="dxa"/>
            <w:noWrap/>
            <w:hideMark/>
          </w:tcPr>
          <w:p w14:paraId="2F437A27" w14:textId="77777777" w:rsidR="00EB2E83" w:rsidRPr="004E0F6C" w:rsidRDefault="00EB2E83" w:rsidP="00EB2E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Type I collagen Degradation Product</w:t>
            </w:r>
          </w:p>
        </w:tc>
      </w:tr>
      <w:tr w:rsidR="00EB2E83" w:rsidRPr="004E0F6C" w14:paraId="5ED16143" w14:textId="77777777" w:rsidTr="00513D18">
        <w:trPr>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2A67915E"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DXA</w:t>
            </w:r>
          </w:p>
        </w:tc>
        <w:tc>
          <w:tcPr>
            <w:tcW w:w="5582" w:type="dxa"/>
            <w:noWrap/>
            <w:hideMark/>
          </w:tcPr>
          <w:p w14:paraId="62407B91" w14:textId="77777777" w:rsidR="00EB2E83" w:rsidRPr="004E0F6C" w:rsidRDefault="00EB2E83" w:rsidP="00EB2E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Dual X-ray Absorptiometry</w:t>
            </w:r>
          </w:p>
        </w:tc>
      </w:tr>
      <w:tr w:rsidR="00EB2E83" w:rsidRPr="004E0F6C" w14:paraId="20270DAE" w14:textId="77777777" w:rsidTr="00513D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218D1D49"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E</w:t>
            </w:r>
          </w:p>
        </w:tc>
        <w:tc>
          <w:tcPr>
            <w:tcW w:w="5582" w:type="dxa"/>
            <w:noWrap/>
            <w:hideMark/>
          </w:tcPr>
          <w:p w14:paraId="3DA93A1C" w14:textId="77777777" w:rsidR="00EB2E83" w:rsidRPr="004E0F6C" w:rsidRDefault="00EB2E83" w:rsidP="00EB2E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17β-Estradiol</w:t>
            </w:r>
          </w:p>
        </w:tc>
      </w:tr>
      <w:tr w:rsidR="00EB2E83" w:rsidRPr="004E0F6C" w14:paraId="17DFDD75" w14:textId="77777777" w:rsidTr="00513D18">
        <w:trPr>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154486F5"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E2</w:t>
            </w:r>
          </w:p>
        </w:tc>
        <w:tc>
          <w:tcPr>
            <w:tcW w:w="5582" w:type="dxa"/>
            <w:noWrap/>
            <w:hideMark/>
          </w:tcPr>
          <w:p w14:paraId="00FA2812" w14:textId="77777777" w:rsidR="00EB2E83" w:rsidRPr="004E0F6C" w:rsidRDefault="00EB2E83" w:rsidP="00EB2E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Estradiol</w:t>
            </w:r>
          </w:p>
        </w:tc>
      </w:tr>
      <w:tr w:rsidR="00EB2E83" w:rsidRPr="004E0F6C" w14:paraId="45A40105" w14:textId="77777777" w:rsidTr="00513D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023F9DB6"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EE</w:t>
            </w:r>
          </w:p>
        </w:tc>
        <w:tc>
          <w:tcPr>
            <w:tcW w:w="5582" w:type="dxa"/>
            <w:noWrap/>
            <w:hideMark/>
          </w:tcPr>
          <w:p w14:paraId="5D9203AE" w14:textId="77777777" w:rsidR="00EB2E83" w:rsidRPr="004E0F6C" w:rsidRDefault="00EB2E83" w:rsidP="00EB2E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Ethinyl Estradiol</w:t>
            </w:r>
          </w:p>
        </w:tc>
      </w:tr>
      <w:tr w:rsidR="00EB2E83" w:rsidRPr="004E0F6C" w14:paraId="09FD8F22" w14:textId="77777777" w:rsidTr="00513D18">
        <w:trPr>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3FC7E499"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fCA</w:t>
            </w:r>
          </w:p>
        </w:tc>
        <w:tc>
          <w:tcPr>
            <w:tcW w:w="5582" w:type="dxa"/>
            <w:noWrap/>
            <w:hideMark/>
          </w:tcPr>
          <w:p w14:paraId="72999BDE" w14:textId="77777777" w:rsidR="00EB2E83" w:rsidRPr="004E0F6C" w:rsidRDefault="00EB2E83" w:rsidP="00EB2E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fractional Calcium excretion</w:t>
            </w:r>
          </w:p>
        </w:tc>
      </w:tr>
      <w:tr w:rsidR="00EB2E83" w:rsidRPr="004E0F6C" w14:paraId="6889B215" w14:textId="77777777" w:rsidTr="00513D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5F68CC03"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FSH</w:t>
            </w:r>
          </w:p>
        </w:tc>
        <w:tc>
          <w:tcPr>
            <w:tcW w:w="5582" w:type="dxa"/>
            <w:noWrap/>
            <w:hideMark/>
          </w:tcPr>
          <w:p w14:paraId="526785ED" w14:textId="77777777" w:rsidR="00EB2E83" w:rsidRPr="004E0F6C" w:rsidRDefault="00EB2E83" w:rsidP="00EB2E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Follicular Stimulating Hormone</w:t>
            </w:r>
          </w:p>
        </w:tc>
      </w:tr>
      <w:tr w:rsidR="00EB2E83" w:rsidRPr="004E0F6C" w14:paraId="6BDE4ECD" w14:textId="77777777" w:rsidTr="00513D18">
        <w:trPr>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0581B96E"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fT</w:t>
            </w:r>
          </w:p>
        </w:tc>
        <w:tc>
          <w:tcPr>
            <w:tcW w:w="5582" w:type="dxa"/>
            <w:noWrap/>
            <w:hideMark/>
          </w:tcPr>
          <w:p w14:paraId="5CB376B8" w14:textId="77777777" w:rsidR="00EB2E83" w:rsidRPr="004E0F6C" w:rsidRDefault="00EB2E83" w:rsidP="00EB2E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free Testosterone</w:t>
            </w:r>
          </w:p>
        </w:tc>
      </w:tr>
      <w:tr w:rsidR="00EB2E83" w:rsidRPr="004E0F6C" w14:paraId="1382840B" w14:textId="77777777" w:rsidTr="00513D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4A820622"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fT4</w:t>
            </w:r>
          </w:p>
        </w:tc>
        <w:tc>
          <w:tcPr>
            <w:tcW w:w="5582" w:type="dxa"/>
            <w:noWrap/>
            <w:hideMark/>
          </w:tcPr>
          <w:p w14:paraId="79322356" w14:textId="77777777" w:rsidR="00EB2E83" w:rsidRPr="004E0F6C" w:rsidRDefault="00EB2E83" w:rsidP="00EB2E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free Thyroxine</w:t>
            </w:r>
          </w:p>
        </w:tc>
      </w:tr>
      <w:tr w:rsidR="00EB2E83" w:rsidRPr="004E0F6C" w14:paraId="0A37A334" w14:textId="77777777" w:rsidTr="00513D18">
        <w:trPr>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11105FC2"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FtM</w:t>
            </w:r>
          </w:p>
        </w:tc>
        <w:tc>
          <w:tcPr>
            <w:tcW w:w="5582" w:type="dxa"/>
            <w:noWrap/>
            <w:hideMark/>
          </w:tcPr>
          <w:p w14:paraId="3C364D13" w14:textId="77777777" w:rsidR="00EB2E83" w:rsidRPr="004E0F6C" w:rsidRDefault="00EB2E83" w:rsidP="00EB2E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Female to Male</w:t>
            </w:r>
          </w:p>
        </w:tc>
      </w:tr>
      <w:tr w:rsidR="00EB2E83" w:rsidRPr="004E0F6C" w14:paraId="050E4F33" w14:textId="77777777" w:rsidTr="00513D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137CB871"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GD</w:t>
            </w:r>
          </w:p>
        </w:tc>
        <w:tc>
          <w:tcPr>
            <w:tcW w:w="5582" w:type="dxa"/>
            <w:noWrap/>
            <w:hideMark/>
          </w:tcPr>
          <w:p w14:paraId="32BC8385" w14:textId="77777777" w:rsidR="00EB2E83" w:rsidRPr="004E0F6C" w:rsidRDefault="00EB2E83" w:rsidP="00EB2E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Gender Dysphoria</w:t>
            </w:r>
          </w:p>
        </w:tc>
      </w:tr>
      <w:tr w:rsidR="00EB2E83" w:rsidRPr="004E0F6C" w14:paraId="39459C31" w14:textId="77777777" w:rsidTr="00513D18">
        <w:trPr>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11010EC1"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GnRHa</w:t>
            </w:r>
          </w:p>
        </w:tc>
        <w:tc>
          <w:tcPr>
            <w:tcW w:w="5582" w:type="dxa"/>
            <w:noWrap/>
            <w:hideMark/>
          </w:tcPr>
          <w:p w14:paraId="709FB091" w14:textId="77777777" w:rsidR="00EB2E83" w:rsidRPr="004E0F6C" w:rsidRDefault="00EB2E83" w:rsidP="00EB2E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Gonadotropin Releasing Hormone analogues</w:t>
            </w:r>
          </w:p>
        </w:tc>
      </w:tr>
      <w:tr w:rsidR="00EB2E83" w:rsidRPr="004E0F6C" w14:paraId="2D555C25" w14:textId="77777777" w:rsidTr="00513D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3E85E4D5"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Hb</w:t>
            </w:r>
          </w:p>
        </w:tc>
        <w:tc>
          <w:tcPr>
            <w:tcW w:w="5582" w:type="dxa"/>
            <w:noWrap/>
            <w:hideMark/>
          </w:tcPr>
          <w:p w14:paraId="31A8A1D6" w14:textId="77777777" w:rsidR="00EB2E83" w:rsidRPr="004E0F6C" w:rsidRDefault="00EB2E83" w:rsidP="00EB2E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Hemoglobin</w:t>
            </w:r>
          </w:p>
        </w:tc>
      </w:tr>
      <w:tr w:rsidR="00EB2E83" w:rsidRPr="004E0F6C" w14:paraId="7DDFACD9" w14:textId="77777777" w:rsidTr="00513D18">
        <w:trPr>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3EBCC345"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HbA1c</w:t>
            </w:r>
          </w:p>
        </w:tc>
        <w:tc>
          <w:tcPr>
            <w:tcW w:w="5582" w:type="dxa"/>
            <w:noWrap/>
            <w:hideMark/>
          </w:tcPr>
          <w:p w14:paraId="6A9C0102" w14:textId="77777777" w:rsidR="00EB2E83" w:rsidRPr="004E0F6C" w:rsidRDefault="00EB2E83" w:rsidP="00EB2E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Hemoglobin A1c</w:t>
            </w:r>
          </w:p>
        </w:tc>
      </w:tr>
      <w:tr w:rsidR="00EB2E83" w:rsidRPr="004E0F6C" w14:paraId="401A9507" w14:textId="77777777" w:rsidTr="00513D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08F6FC18"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Hct</w:t>
            </w:r>
          </w:p>
        </w:tc>
        <w:tc>
          <w:tcPr>
            <w:tcW w:w="5582" w:type="dxa"/>
            <w:noWrap/>
            <w:hideMark/>
          </w:tcPr>
          <w:p w14:paraId="0631D08E" w14:textId="77777777" w:rsidR="00EB2E83" w:rsidRPr="004E0F6C" w:rsidRDefault="00EB2E83" w:rsidP="00EB2E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Hematocrit</w:t>
            </w:r>
          </w:p>
        </w:tc>
      </w:tr>
      <w:tr w:rsidR="00EB2E83" w:rsidRPr="004E0F6C" w14:paraId="682C1DE1" w14:textId="77777777" w:rsidTr="00513D18">
        <w:trPr>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56D40548"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HDL</w:t>
            </w:r>
          </w:p>
        </w:tc>
        <w:tc>
          <w:tcPr>
            <w:tcW w:w="5582" w:type="dxa"/>
            <w:noWrap/>
            <w:hideMark/>
          </w:tcPr>
          <w:p w14:paraId="1EDB8FE6" w14:textId="77777777" w:rsidR="00EB2E83" w:rsidRPr="004E0F6C" w:rsidRDefault="00EB2E83" w:rsidP="00EB2E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High Density Lipoprotein</w:t>
            </w:r>
          </w:p>
        </w:tc>
      </w:tr>
      <w:tr w:rsidR="00EB2E83" w:rsidRPr="004E0F6C" w14:paraId="707F716C" w14:textId="77777777" w:rsidTr="00513D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7F832AD5"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HOMA</w:t>
            </w:r>
          </w:p>
        </w:tc>
        <w:tc>
          <w:tcPr>
            <w:tcW w:w="5582" w:type="dxa"/>
            <w:noWrap/>
            <w:hideMark/>
          </w:tcPr>
          <w:p w14:paraId="660F355F" w14:textId="77777777" w:rsidR="00EB2E83" w:rsidRPr="004E0F6C" w:rsidRDefault="00EB2E83" w:rsidP="00EB2E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Homeostasis Model Assessment</w:t>
            </w:r>
          </w:p>
        </w:tc>
      </w:tr>
      <w:tr w:rsidR="00EB2E83" w:rsidRPr="004E0F6C" w14:paraId="37D906AA" w14:textId="77777777" w:rsidTr="00513D18">
        <w:trPr>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642F3C5C"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IGF-1</w:t>
            </w:r>
          </w:p>
        </w:tc>
        <w:tc>
          <w:tcPr>
            <w:tcW w:w="5582" w:type="dxa"/>
            <w:noWrap/>
            <w:hideMark/>
          </w:tcPr>
          <w:p w14:paraId="032B86A4" w14:textId="77777777" w:rsidR="00EB2E83" w:rsidRPr="004E0F6C" w:rsidRDefault="00EB2E83" w:rsidP="00EB2E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Insuline-like Growth Factor-1</w:t>
            </w:r>
          </w:p>
        </w:tc>
      </w:tr>
      <w:tr w:rsidR="00EB2E83" w:rsidRPr="004E0F6C" w14:paraId="19E70CD3" w14:textId="77777777" w:rsidTr="00513D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1BE16D5F"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Inh</w:t>
            </w:r>
          </w:p>
        </w:tc>
        <w:tc>
          <w:tcPr>
            <w:tcW w:w="5582" w:type="dxa"/>
            <w:noWrap/>
            <w:hideMark/>
          </w:tcPr>
          <w:p w14:paraId="322D962D" w14:textId="77777777" w:rsidR="00EB2E83" w:rsidRPr="004E0F6C" w:rsidRDefault="00EB2E83" w:rsidP="00EB2E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Inhibin B</w:t>
            </w:r>
          </w:p>
        </w:tc>
      </w:tr>
      <w:tr w:rsidR="00EB2E83" w:rsidRPr="004E0F6C" w14:paraId="4E530131" w14:textId="77777777" w:rsidTr="00513D18">
        <w:trPr>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4FE3B146"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L</w:t>
            </w:r>
          </w:p>
        </w:tc>
        <w:tc>
          <w:tcPr>
            <w:tcW w:w="5582" w:type="dxa"/>
            <w:noWrap/>
            <w:hideMark/>
          </w:tcPr>
          <w:p w14:paraId="6D14B43A" w14:textId="77777777" w:rsidR="00EB2E83" w:rsidRPr="004E0F6C" w:rsidRDefault="00EB2E83" w:rsidP="00EB2E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Lynestrenol (monotherapy)</w:t>
            </w:r>
          </w:p>
        </w:tc>
      </w:tr>
      <w:tr w:rsidR="00EB2E83" w:rsidRPr="002A729A" w14:paraId="117FC985" w14:textId="77777777" w:rsidTr="00513D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616192D6" w14:textId="1631E9BD"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L+T</w:t>
            </w:r>
            <w:r w:rsidR="006E34C2">
              <w:rPr>
                <w:rFonts w:ascii="Calibri" w:eastAsia="Times New Roman" w:hAnsi="Calibri" w:cs="Times New Roman"/>
                <w:color w:val="000000"/>
                <w:lang w:val="en-US"/>
              </w:rPr>
              <w:t>E</w:t>
            </w:r>
          </w:p>
        </w:tc>
        <w:tc>
          <w:tcPr>
            <w:tcW w:w="5582" w:type="dxa"/>
            <w:noWrap/>
            <w:hideMark/>
          </w:tcPr>
          <w:p w14:paraId="774AF401" w14:textId="77777777" w:rsidR="00EB2E83" w:rsidRPr="004E0F6C" w:rsidRDefault="00EB2E83" w:rsidP="00EB2E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Lynestrenol and Testosterone esters (combination therapy)</w:t>
            </w:r>
          </w:p>
        </w:tc>
      </w:tr>
      <w:tr w:rsidR="00EB2E83" w:rsidRPr="004E0F6C" w14:paraId="058A7F7D" w14:textId="77777777" w:rsidTr="00513D18">
        <w:trPr>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6E62B03B"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LDL</w:t>
            </w:r>
          </w:p>
        </w:tc>
        <w:tc>
          <w:tcPr>
            <w:tcW w:w="5582" w:type="dxa"/>
            <w:noWrap/>
            <w:hideMark/>
          </w:tcPr>
          <w:p w14:paraId="5B0FBB1F" w14:textId="77777777" w:rsidR="00EB2E83" w:rsidRPr="004E0F6C" w:rsidRDefault="00EB2E83" w:rsidP="00EB2E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Low Density Lipoprotein</w:t>
            </w:r>
          </w:p>
        </w:tc>
      </w:tr>
      <w:tr w:rsidR="00EB2E83" w:rsidRPr="004E0F6C" w14:paraId="0C7C6127" w14:textId="77777777" w:rsidTr="00513D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2D498F1D"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LH</w:t>
            </w:r>
          </w:p>
        </w:tc>
        <w:tc>
          <w:tcPr>
            <w:tcW w:w="5582" w:type="dxa"/>
            <w:noWrap/>
            <w:hideMark/>
          </w:tcPr>
          <w:p w14:paraId="7A0427EB" w14:textId="77777777" w:rsidR="00EB2E83" w:rsidRPr="004E0F6C" w:rsidRDefault="00EB2E83" w:rsidP="00EB2E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Luteinizing Hormone</w:t>
            </w:r>
          </w:p>
        </w:tc>
      </w:tr>
      <w:tr w:rsidR="00EB2E83" w:rsidRPr="004E0F6C" w14:paraId="261D0C9F" w14:textId="77777777" w:rsidTr="00513D18">
        <w:trPr>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1AA7D589"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MtF</w:t>
            </w:r>
          </w:p>
        </w:tc>
        <w:tc>
          <w:tcPr>
            <w:tcW w:w="5582" w:type="dxa"/>
            <w:noWrap/>
            <w:hideMark/>
          </w:tcPr>
          <w:p w14:paraId="33B79D5F" w14:textId="77777777" w:rsidR="00EB2E83" w:rsidRPr="004E0F6C" w:rsidRDefault="00EB2E83" w:rsidP="00EB2E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Male to Female</w:t>
            </w:r>
          </w:p>
        </w:tc>
      </w:tr>
      <w:tr w:rsidR="00EB2E83" w:rsidRPr="004E0F6C" w14:paraId="2BE4D5AB" w14:textId="77777777" w:rsidTr="00513D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4379F1B3"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OC</w:t>
            </w:r>
          </w:p>
        </w:tc>
        <w:tc>
          <w:tcPr>
            <w:tcW w:w="5582" w:type="dxa"/>
            <w:noWrap/>
            <w:hideMark/>
          </w:tcPr>
          <w:p w14:paraId="383A33DF" w14:textId="77777777" w:rsidR="00EB2E83" w:rsidRPr="004E0F6C" w:rsidRDefault="00EB2E83" w:rsidP="00EB2E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Oral Contraceptives</w:t>
            </w:r>
          </w:p>
        </w:tc>
      </w:tr>
      <w:tr w:rsidR="00EB2E83" w:rsidRPr="002A729A" w14:paraId="5DA2916B" w14:textId="77777777" w:rsidTr="00513D18">
        <w:trPr>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04E5CAEE"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P1NP</w:t>
            </w:r>
          </w:p>
        </w:tc>
        <w:tc>
          <w:tcPr>
            <w:tcW w:w="5582" w:type="dxa"/>
            <w:noWrap/>
            <w:hideMark/>
          </w:tcPr>
          <w:p w14:paraId="7EA6BCB6" w14:textId="77777777" w:rsidR="00EB2E83" w:rsidRPr="004E0F6C" w:rsidRDefault="00EB2E83" w:rsidP="00EB2E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Procollagen type I N-terminal Propeptide</w:t>
            </w:r>
          </w:p>
        </w:tc>
      </w:tr>
      <w:tr w:rsidR="00EB2E83" w:rsidRPr="004E0F6C" w14:paraId="64F2CEA8" w14:textId="77777777" w:rsidTr="00513D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40B1A717"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PCO</w:t>
            </w:r>
          </w:p>
        </w:tc>
        <w:tc>
          <w:tcPr>
            <w:tcW w:w="5582" w:type="dxa"/>
            <w:noWrap/>
            <w:hideMark/>
          </w:tcPr>
          <w:p w14:paraId="7A63E270" w14:textId="77777777" w:rsidR="00EB2E83" w:rsidRPr="004E0F6C" w:rsidRDefault="00EB2E83" w:rsidP="00EB2E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 xml:space="preserve">Polycyclic Ovary </w:t>
            </w:r>
          </w:p>
        </w:tc>
      </w:tr>
      <w:tr w:rsidR="00EB2E83" w:rsidRPr="004E0F6C" w14:paraId="35E39D33" w14:textId="77777777" w:rsidTr="00513D18">
        <w:trPr>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51EEF97E"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pQCT</w:t>
            </w:r>
          </w:p>
        </w:tc>
        <w:tc>
          <w:tcPr>
            <w:tcW w:w="5582" w:type="dxa"/>
            <w:noWrap/>
            <w:hideMark/>
          </w:tcPr>
          <w:p w14:paraId="57E63748" w14:textId="12244813" w:rsidR="00EB2E83" w:rsidRPr="004E0F6C" w:rsidRDefault="004E0F6C" w:rsidP="00EB2E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peripheral</w:t>
            </w:r>
            <w:r w:rsidR="00EB2E83" w:rsidRPr="004E0F6C">
              <w:rPr>
                <w:rFonts w:ascii="Calibri" w:eastAsia="Times New Roman" w:hAnsi="Calibri" w:cs="Times New Roman"/>
                <w:color w:val="000000"/>
                <w:lang w:val="en-US"/>
              </w:rPr>
              <w:t xml:space="preserve"> Quantitative </w:t>
            </w:r>
            <w:r w:rsidRPr="004E0F6C">
              <w:rPr>
                <w:rFonts w:ascii="Calibri" w:eastAsia="Times New Roman" w:hAnsi="Calibri" w:cs="Times New Roman"/>
                <w:color w:val="000000"/>
                <w:lang w:val="en-US"/>
              </w:rPr>
              <w:t>Computerized</w:t>
            </w:r>
            <w:r w:rsidR="00EB2E83" w:rsidRPr="004E0F6C">
              <w:rPr>
                <w:rFonts w:ascii="Calibri" w:eastAsia="Times New Roman" w:hAnsi="Calibri" w:cs="Times New Roman"/>
                <w:color w:val="000000"/>
                <w:lang w:val="en-US"/>
              </w:rPr>
              <w:t xml:space="preserve"> Tomography</w:t>
            </w:r>
          </w:p>
        </w:tc>
      </w:tr>
      <w:tr w:rsidR="00EB2E83" w:rsidRPr="004E0F6C" w14:paraId="68DC09C9" w14:textId="77777777" w:rsidTr="00513D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78127169"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PRL</w:t>
            </w:r>
          </w:p>
        </w:tc>
        <w:tc>
          <w:tcPr>
            <w:tcW w:w="5582" w:type="dxa"/>
            <w:noWrap/>
            <w:hideMark/>
          </w:tcPr>
          <w:p w14:paraId="7695B8B6" w14:textId="33549953" w:rsidR="00EB2E83" w:rsidRPr="004E0F6C" w:rsidRDefault="004E0F6C" w:rsidP="00EB2E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Pr>
                <w:rFonts w:ascii="Calibri" w:eastAsia="Times New Roman" w:hAnsi="Calibri" w:cs="Times New Roman"/>
                <w:color w:val="000000"/>
                <w:lang w:val="en-US"/>
              </w:rPr>
              <w:t>Prolactin</w:t>
            </w:r>
          </w:p>
        </w:tc>
      </w:tr>
      <w:tr w:rsidR="00EB2E83" w:rsidRPr="004E0F6C" w14:paraId="1658758A" w14:textId="77777777" w:rsidTr="00513D18">
        <w:trPr>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5C7064F8"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SD</w:t>
            </w:r>
          </w:p>
        </w:tc>
        <w:tc>
          <w:tcPr>
            <w:tcW w:w="5582" w:type="dxa"/>
            <w:noWrap/>
            <w:hideMark/>
          </w:tcPr>
          <w:p w14:paraId="5EDE6F16" w14:textId="77777777" w:rsidR="00EB2E83" w:rsidRPr="004E0F6C" w:rsidRDefault="00EB2E83" w:rsidP="00EB2E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Standard Deviation</w:t>
            </w:r>
          </w:p>
        </w:tc>
      </w:tr>
      <w:tr w:rsidR="00EB2E83" w:rsidRPr="004E0F6C" w14:paraId="66BF36D6" w14:textId="77777777" w:rsidTr="00513D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5AA1DABD"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SHBG</w:t>
            </w:r>
          </w:p>
        </w:tc>
        <w:tc>
          <w:tcPr>
            <w:tcW w:w="5582" w:type="dxa"/>
            <w:noWrap/>
            <w:hideMark/>
          </w:tcPr>
          <w:p w14:paraId="0E5179ED" w14:textId="77777777" w:rsidR="00EB2E83" w:rsidRPr="004E0F6C" w:rsidRDefault="00EB2E83" w:rsidP="00EB2E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Sex hormone-binding Globulin</w:t>
            </w:r>
          </w:p>
        </w:tc>
      </w:tr>
      <w:tr w:rsidR="00EB2E83" w:rsidRPr="004E0F6C" w14:paraId="17BBDE41" w14:textId="77777777" w:rsidTr="00513D18">
        <w:trPr>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50A7A35B"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lastRenderedPageBreak/>
              <w:t>SRS</w:t>
            </w:r>
          </w:p>
        </w:tc>
        <w:tc>
          <w:tcPr>
            <w:tcW w:w="5582" w:type="dxa"/>
            <w:noWrap/>
            <w:hideMark/>
          </w:tcPr>
          <w:p w14:paraId="4A32BE50" w14:textId="77777777" w:rsidR="00EB2E83" w:rsidRPr="004E0F6C" w:rsidRDefault="00EB2E83" w:rsidP="00EB2E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Sex Reassignment Surgery</w:t>
            </w:r>
          </w:p>
        </w:tc>
      </w:tr>
      <w:tr w:rsidR="00EB2E83" w:rsidRPr="004E0F6C" w14:paraId="332FA7C3" w14:textId="77777777" w:rsidTr="00513D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1D4A1944"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T</w:t>
            </w:r>
          </w:p>
        </w:tc>
        <w:tc>
          <w:tcPr>
            <w:tcW w:w="5582" w:type="dxa"/>
            <w:noWrap/>
            <w:hideMark/>
          </w:tcPr>
          <w:p w14:paraId="3EB7FB47" w14:textId="77777777" w:rsidR="00EB2E83" w:rsidRPr="004E0F6C" w:rsidRDefault="00EB2E83" w:rsidP="00EB2E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Testosterone</w:t>
            </w:r>
          </w:p>
        </w:tc>
      </w:tr>
      <w:tr w:rsidR="00EB2E83" w:rsidRPr="004E0F6C" w14:paraId="201FCD96" w14:textId="77777777" w:rsidTr="00513D18">
        <w:trPr>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4643BCEE"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TE</w:t>
            </w:r>
          </w:p>
        </w:tc>
        <w:tc>
          <w:tcPr>
            <w:tcW w:w="5582" w:type="dxa"/>
            <w:noWrap/>
            <w:hideMark/>
          </w:tcPr>
          <w:p w14:paraId="2FB3CF2D" w14:textId="77777777" w:rsidR="00EB2E83" w:rsidRPr="004E0F6C" w:rsidRDefault="00EB2E83" w:rsidP="00EB2E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Testosterone Esters</w:t>
            </w:r>
          </w:p>
        </w:tc>
      </w:tr>
      <w:tr w:rsidR="00EB2E83" w:rsidRPr="004E0F6C" w14:paraId="6FA3BA19" w14:textId="77777777" w:rsidTr="00513D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7F1EBDF8"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TSH</w:t>
            </w:r>
          </w:p>
        </w:tc>
        <w:tc>
          <w:tcPr>
            <w:tcW w:w="5582" w:type="dxa"/>
            <w:noWrap/>
            <w:hideMark/>
          </w:tcPr>
          <w:p w14:paraId="596AC210" w14:textId="77777777" w:rsidR="00EB2E83" w:rsidRPr="004E0F6C" w:rsidRDefault="00EB2E83" w:rsidP="00EB2E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Thyroid-Stimulating Hormone</w:t>
            </w:r>
          </w:p>
        </w:tc>
      </w:tr>
      <w:tr w:rsidR="00EB2E83" w:rsidRPr="004E0F6C" w14:paraId="59D93527" w14:textId="77777777" w:rsidTr="00513D18">
        <w:trPr>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77274C90"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vBMC</w:t>
            </w:r>
          </w:p>
        </w:tc>
        <w:tc>
          <w:tcPr>
            <w:tcW w:w="5582" w:type="dxa"/>
            <w:noWrap/>
            <w:hideMark/>
          </w:tcPr>
          <w:p w14:paraId="39B11757" w14:textId="77777777" w:rsidR="00EB2E83" w:rsidRPr="004E0F6C" w:rsidRDefault="00EB2E83" w:rsidP="00EB2E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volumetric Bone Mineral Content</w:t>
            </w:r>
          </w:p>
        </w:tc>
      </w:tr>
      <w:tr w:rsidR="00EB2E83" w:rsidRPr="004E0F6C" w14:paraId="0733AAC3" w14:textId="77777777" w:rsidTr="00513D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noWrap/>
            <w:hideMark/>
          </w:tcPr>
          <w:p w14:paraId="7CD8FD1E" w14:textId="77777777" w:rsidR="00EB2E83" w:rsidRPr="004E0F6C" w:rsidRDefault="00EB2E83" w:rsidP="00EB2E83">
            <w:pPr>
              <w:rPr>
                <w:rFonts w:ascii="Calibri" w:eastAsia="Times New Roman" w:hAnsi="Calibri" w:cs="Times New Roman"/>
                <w:color w:val="000000"/>
                <w:lang w:val="en-US"/>
              </w:rPr>
            </w:pPr>
            <w:r w:rsidRPr="004E0F6C">
              <w:rPr>
                <w:rFonts w:ascii="Calibri" w:eastAsia="Times New Roman" w:hAnsi="Calibri" w:cs="Times New Roman"/>
                <w:color w:val="000000"/>
                <w:lang w:val="en-US"/>
              </w:rPr>
              <w:t>vBMD</w:t>
            </w:r>
          </w:p>
        </w:tc>
        <w:tc>
          <w:tcPr>
            <w:tcW w:w="5582" w:type="dxa"/>
            <w:noWrap/>
            <w:hideMark/>
          </w:tcPr>
          <w:p w14:paraId="2B7373F1" w14:textId="77777777" w:rsidR="00EB2E83" w:rsidRPr="004E0F6C" w:rsidRDefault="00EB2E83" w:rsidP="00EB2E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rPr>
            </w:pPr>
            <w:r w:rsidRPr="004E0F6C">
              <w:rPr>
                <w:rFonts w:ascii="Calibri" w:eastAsia="Times New Roman" w:hAnsi="Calibri" w:cs="Times New Roman"/>
                <w:color w:val="000000"/>
                <w:lang w:val="en-US"/>
              </w:rPr>
              <w:t>volumetric Bone Mineral Density</w:t>
            </w:r>
          </w:p>
        </w:tc>
      </w:tr>
    </w:tbl>
    <w:p w14:paraId="37682AD4" w14:textId="77777777" w:rsidR="004F660F" w:rsidRPr="004E0F6C" w:rsidRDefault="004F660F">
      <w:pPr>
        <w:rPr>
          <w:rFonts w:asciiTheme="majorHAnsi" w:hAnsiTheme="majorHAnsi"/>
          <w:sz w:val="20"/>
          <w:szCs w:val="20"/>
          <w:lang w:val="en-US"/>
        </w:rPr>
      </w:pPr>
    </w:p>
    <w:p w14:paraId="20E9CF8B" w14:textId="2C684692" w:rsidR="00B03E48" w:rsidRPr="00D4001A" w:rsidRDefault="00B03E48">
      <w:pPr>
        <w:rPr>
          <w:rFonts w:asciiTheme="majorHAnsi" w:hAnsiTheme="majorHAnsi"/>
          <w:sz w:val="20"/>
          <w:szCs w:val="20"/>
          <w:lang w:val="en-GB"/>
        </w:rPr>
      </w:pPr>
      <w:r w:rsidRPr="00D4001A">
        <w:rPr>
          <w:rFonts w:asciiTheme="majorHAnsi" w:hAnsiTheme="majorHAnsi"/>
          <w:sz w:val="20"/>
          <w:szCs w:val="20"/>
          <w:lang w:val="en-GB"/>
        </w:rPr>
        <w:br w:type="page"/>
      </w:r>
    </w:p>
    <w:p w14:paraId="44CBC264" w14:textId="77777777" w:rsidR="00D04529" w:rsidRDefault="00B03E48" w:rsidP="00C942CA">
      <w:pPr>
        <w:pStyle w:val="Kop1"/>
        <w:rPr>
          <w:lang w:val="en-GB"/>
        </w:rPr>
      </w:pPr>
      <w:bookmarkStart w:id="74" w:name="_Toc451961530"/>
      <w:r w:rsidRPr="00D4001A">
        <w:rPr>
          <w:lang w:val="en-GB"/>
        </w:rPr>
        <w:lastRenderedPageBreak/>
        <w:t>References</w:t>
      </w:r>
      <w:bookmarkEnd w:id="74"/>
      <w:r w:rsidRPr="00D4001A">
        <w:rPr>
          <w:lang w:val="en-GB"/>
        </w:rPr>
        <w:t xml:space="preserve"> </w:t>
      </w:r>
    </w:p>
    <w:p w14:paraId="2C2077AB" w14:textId="2F5CF2E6" w:rsidR="002C52CA" w:rsidRPr="00004609" w:rsidRDefault="007A3EDC"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C83C07">
        <w:rPr>
          <w:sz w:val="18"/>
          <w:szCs w:val="18"/>
          <w:lang w:val="en-GB"/>
        </w:rPr>
        <w:fldChar w:fldCharType="begin" w:fldLock="1"/>
      </w:r>
      <w:r w:rsidR="004124CD" w:rsidRPr="0026009E">
        <w:rPr>
          <w:sz w:val="18"/>
          <w:szCs w:val="18"/>
        </w:rPr>
        <w:instrText xml:space="preserve">ADDIN Mendeley Bibliography CSL_BIBLIOGRAPHY </w:instrText>
      </w:r>
      <w:r w:rsidRPr="00C83C07">
        <w:rPr>
          <w:sz w:val="18"/>
          <w:szCs w:val="18"/>
          <w:lang w:val="en-GB"/>
        </w:rPr>
        <w:fldChar w:fldCharType="separate"/>
      </w:r>
      <w:r w:rsidR="002C52CA" w:rsidRPr="002C52CA">
        <w:rPr>
          <w:rFonts w:ascii="Calibri" w:hAnsi="Calibri" w:cs="Times New Roman"/>
          <w:noProof/>
          <w:sz w:val="18"/>
          <w:szCs w:val="24"/>
        </w:rPr>
        <w:t xml:space="preserve">1. </w:t>
      </w:r>
      <w:r w:rsidR="002C52CA" w:rsidRPr="002C52CA">
        <w:rPr>
          <w:rFonts w:ascii="Calibri" w:hAnsi="Calibri" w:cs="Times New Roman"/>
          <w:noProof/>
          <w:sz w:val="18"/>
          <w:szCs w:val="24"/>
        </w:rPr>
        <w:tab/>
        <w:t xml:space="preserve">F. Beek T, Cohen-Kettenis PT, Kreukels BPC. </w:t>
      </w:r>
      <w:r w:rsidR="002C52CA" w:rsidRPr="00004609">
        <w:rPr>
          <w:rFonts w:ascii="Calibri" w:hAnsi="Calibri" w:cs="Times New Roman"/>
          <w:noProof/>
          <w:sz w:val="18"/>
          <w:szCs w:val="24"/>
          <w:lang w:val="en-US"/>
        </w:rPr>
        <w:t xml:space="preserve">Gender incongruence/gender dysphoria and its classification history. Int Rev Psychiatry. 2016;28(1):5–12. </w:t>
      </w:r>
    </w:p>
    <w:p w14:paraId="749BB063"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2. </w:t>
      </w:r>
      <w:r w:rsidRPr="00004609">
        <w:rPr>
          <w:rFonts w:ascii="Calibri" w:hAnsi="Calibri" w:cs="Times New Roman"/>
          <w:noProof/>
          <w:sz w:val="18"/>
          <w:szCs w:val="24"/>
          <w:lang w:val="en-US"/>
        </w:rPr>
        <w:tab/>
        <w:t xml:space="preserve">Bonifacio HJ, Rosenthal SM. Gender Variance and Dysphoria in Children and Adolescents. Pediatr Clin North Am. Elsevier Inc; 2015;62(4):1001–16. </w:t>
      </w:r>
    </w:p>
    <w:p w14:paraId="13CABAEE"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3. </w:t>
      </w:r>
      <w:r w:rsidRPr="00004609">
        <w:rPr>
          <w:rFonts w:ascii="Calibri" w:hAnsi="Calibri" w:cs="Times New Roman"/>
          <w:noProof/>
          <w:sz w:val="18"/>
          <w:szCs w:val="24"/>
          <w:lang w:val="en-US"/>
        </w:rPr>
        <w:tab/>
        <w:t xml:space="preserve">Van Caenegem E, Wierckx K, Elaut E, Buysse A, Dewaele A, Van Nieuwerburgh F, et al. Prevalence of Gender Nonconformity in Flanders, Belgium. Arch Sex Behav. Springer US; 2015;44(5):1281–7. </w:t>
      </w:r>
    </w:p>
    <w:p w14:paraId="637204C4"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4. </w:t>
      </w:r>
      <w:r w:rsidRPr="00004609">
        <w:rPr>
          <w:rFonts w:ascii="Calibri" w:hAnsi="Calibri" w:cs="Times New Roman"/>
          <w:noProof/>
          <w:sz w:val="18"/>
          <w:szCs w:val="24"/>
          <w:lang w:val="en-US"/>
        </w:rPr>
        <w:tab/>
        <w:t xml:space="preserve">Conron KJ, Scott G, Stowell GS, Landers SJ. Transgender Health in Massachusetts: Results From a Household Probability Sample of Adults. Am J Public Health. 2012;102(1):118–22. </w:t>
      </w:r>
    </w:p>
    <w:p w14:paraId="282DB7E9"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5. </w:t>
      </w:r>
      <w:r w:rsidRPr="00004609">
        <w:rPr>
          <w:rFonts w:ascii="Calibri" w:hAnsi="Calibri" w:cs="Times New Roman"/>
          <w:noProof/>
          <w:sz w:val="18"/>
          <w:szCs w:val="24"/>
          <w:lang w:val="en-US"/>
        </w:rPr>
        <w:tab/>
        <w:t xml:space="preserve">Kuyper L, Wijsen C. Gender identities and gender dysphoria in the Netherlands. Arch Sex Behav. 2014;43:377–85. </w:t>
      </w:r>
    </w:p>
    <w:p w14:paraId="7CF51DEA"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6. </w:t>
      </w:r>
      <w:r w:rsidRPr="00004609">
        <w:rPr>
          <w:rFonts w:ascii="Calibri" w:hAnsi="Calibri" w:cs="Times New Roman"/>
          <w:noProof/>
          <w:sz w:val="18"/>
          <w:szCs w:val="24"/>
          <w:lang w:val="en-US"/>
        </w:rPr>
        <w:tab/>
        <w:t xml:space="preserve">Davy Z. The DSM-5 and the Politics of Diagnosing Transpeople. Arch Sex Behav. 2015;44(5):1165–76. </w:t>
      </w:r>
    </w:p>
    <w:p w14:paraId="628983A8"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7. </w:t>
      </w:r>
      <w:r w:rsidRPr="00004609">
        <w:rPr>
          <w:rFonts w:ascii="Calibri" w:hAnsi="Calibri" w:cs="Times New Roman"/>
          <w:noProof/>
          <w:sz w:val="18"/>
          <w:szCs w:val="24"/>
          <w:lang w:val="en-US"/>
        </w:rPr>
        <w:tab/>
        <w:t xml:space="preserve">Bartlett N, Vasey P, Bukowski W. Is gender identity disorder in children a mental disorder? Sex Roles. 2000;43(2):753–85. </w:t>
      </w:r>
    </w:p>
    <w:p w14:paraId="508CA25E" w14:textId="77777777" w:rsidR="002C52CA" w:rsidRPr="002C52CA"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rPr>
      </w:pPr>
      <w:r w:rsidRPr="00004609">
        <w:rPr>
          <w:rFonts w:ascii="Calibri" w:hAnsi="Calibri" w:cs="Times New Roman"/>
          <w:noProof/>
          <w:sz w:val="18"/>
          <w:szCs w:val="24"/>
          <w:lang w:val="en-US"/>
        </w:rPr>
        <w:t xml:space="preserve">8. </w:t>
      </w:r>
      <w:r w:rsidRPr="00004609">
        <w:rPr>
          <w:rFonts w:ascii="Calibri" w:hAnsi="Calibri" w:cs="Times New Roman"/>
          <w:noProof/>
          <w:sz w:val="18"/>
          <w:szCs w:val="24"/>
          <w:lang w:val="en-US"/>
        </w:rPr>
        <w:tab/>
        <w:t xml:space="preserve">Cohen-Kettenis PT, Pfäfflin F. The DSM diagnostic criteria for gender identity disorder in adolescents and adults. </w:t>
      </w:r>
      <w:r w:rsidRPr="002C52CA">
        <w:rPr>
          <w:rFonts w:ascii="Calibri" w:hAnsi="Calibri" w:cs="Times New Roman"/>
          <w:noProof/>
          <w:sz w:val="18"/>
          <w:szCs w:val="24"/>
        </w:rPr>
        <w:t xml:space="preserve">Arch Sex Behav. 2010;39:499–513. </w:t>
      </w:r>
    </w:p>
    <w:p w14:paraId="3E3DBDED"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2C52CA">
        <w:rPr>
          <w:rFonts w:ascii="Calibri" w:hAnsi="Calibri" w:cs="Times New Roman"/>
          <w:noProof/>
          <w:sz w:val="18"/>
          <w:szCs w:val="24"/>
        </w:rPr>
        <w:t xml:space="preserve">9. </w:t>
      </w:r>
      <w:r w:rsidRPr="002C52CA">
        <w:rPr>
          <w:rFonts w:ascii="Calibri" w:hAnsi="Calibri" w:cs="Times New Roman"/>
          <w:noProof/>
          <w:sz w:val="18"/>
          <w:szCs w:val="24"/>
        </w:rPr>
        <w:tab/>
        <w:t xml:space="preserve">Hembree WC, Cohen-Kettenis P, Delemarre-Van De Waal HA, Gooren LJ, Meyer WJ, Spack NP, et al. </w:t>
      </w:r>
      <w:r w:rsidRPr="00004609">
        <w:rPr>
          <w:rFonts w:ascii="Calibri" w:hAnsi="Calibri" w:cs="Times New Roman"/>
          <w:noProof/>
          <w:sz w:val="18"/>
          <w:szCs w:val="24"/>
          <w:lang w:val="en-US"/>
        </w:rPr>
        <w:t xml:space="preserve">Endocrine Treatment of Transsexual Persons:An Endocrine Society Clinical Practice Guideline. J Clin Endocrinol Metab. 2009;94(9):3132–54. </w:t>
      </w:r>
    </w:p>
    <w:p w14:paraId="61ABF567"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10. </w:t>
      </w:r>
      <w:r w:rsidRPr="00004609">
        <w:rPr>
          <w:rFonts w:ascii="Calibri" w:hAnsi="Calibri" w:cs="Times New Roman"/>
          <w:noProof/>
          <w:sz w:val="18"/>
          <w:szCs w:val="24"/>
          <w:lang w:val="en-US"/>
        </w:rPr>
        <w:tab/>
        <w:t xml:space="preserve">Kreukels BPC, Cohen-Kettenis PT. Puberty suppression in gender identity disorder: the Amsterdam experience. Nat Rev Endocrinol. 2011;7(8):466–72. </w:t>
      </w:r>
    </w:p>
    <w:p w14:paraId="1CF25520"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11. </w:t>
      </w:r>
      <w:r w:rsidRPr="00004609">
        <w:rPr>
          <w:rFonts w:ascii="Calibri" w:hAnsi="Calibri" w:cs="Times New Roman"/>
          <w:noProof/>
          <w:sz w:val="18"/>
          <w:szCs w:val="24"/>
          <w:lang w:val="en-US"/>
        </w:rPr>
        <w:tab/>
        <w:t xml:space="preserve">Wallien MSC, Cohen-Kettenis PT. Psychosexual outcome of gender-dysphoric children. J Am Acad Child Adolesc Psychiatry. 2008;47(12):1413–23. </w:t>
      </w:r>
    </w:p>
    <w:p w14:paraId="17B864E6"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12. </w:t>
      </w:r>
      <w:r w:rsidRPr="00004609">
        <w:rPr>
          <w:rFonts w:ascii="Calibri" w:hAnsi="Calibri" w:cs="Times New Roman"/>
          <w:noProof/>
          <w:sz w:val="18"/>
          <w:szCs w:val="24"/>
          <w:lang w:val="en-US"/>
        </w:rPr>
        <w:tab/>
        <w:t xml:space="preserve">Cohen-Kettenis PT, van Goozen SH. Pubertal delay as an aid in diagnosis and treatment of a transsexual adolescent. Eur Child Adolesc Psychiatry. 1998;7(4):246–8. </w:t>
      </w:r>
    </w:p>
    <w:p w14:paraId="18038ED8" w14:textId="77777777" w:rsidR="002C52CA" w:rsidRPr="002C52CA"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rPr>
      </w:pPr>
      <w:r w:rsidRPr="00004609">
        <w:rPr>
          <w:rFonts w:ascii="Calibri" w:hAnsi="Calibri" w:cs="Times New Roman"/>
          <w:noProof/>
          <w:sz w:val="18"/>
          <w:szCs w:val="24"/>
          <w:lang w:val="en-US"/>
        </w:rPr>
        <w:t xml:space="preserve">13. </w:t>
      </w:r>
      <w:r w:rsidRPr="00004609">
        <w:rPr>
          <w:rFonts w:ascii="Calibri" w:hAnsi="Calibri" w:cs="Times New Roman"/>
          <w:noProof/>
          <w:sz w:val="18"/>
          <w:szCs w:val="24"/>
          <w:lang w:val="en-US"/>
        </w:rPr>
        <w:tab/>
        <w:t xml:space="preserve">Hembree WC. Management of juvenile gender dysphoria. </w:t>
      </w:r>
      <w:r w:rsidRPr="002C52CA">
        <w:rPr>
          <w:rFonts w:ascii="Calibri" w:hAnsi="Calibri" w:cs="Times New Roman"/>
          <w:noProof/>
          <w:sz w:val="18"/>
          <w:szCs w:val="24"/>
        </w:rPr>
        <w:t xml:space="preserve">Curr Opin Endocrinol Diabetes Obes. 2013;20(6):559–64. </w:t>
      </w:r>
    </w:p>
    <w:p w14:paraId="5B8BAC4A" w14:textId="77777777" w:rsidR="002C52CA" w:rsidRPr="002C52CA"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rPr>
      </w:pPr>
      <w:r w:rsidRPr="002C52CA">
        <w:rPr>
          <w:rFonts w:ascii="Calibri" w:hAnsi="Calibri" w:cs="Times New Roman"/>
          <w:noProof/>
          <w:sz w:val="18"/>
          <w:szCs w:val="24"/>
        </w:rPr>
        <w:t xml:space="preserve">14. </w:t>
      </w:r>
      <w:r w:rsidRPr="002C52CA">
        <w:rPr>
          <w:rFonts w:ascii="Calibri" w:hAnsi="Calibri" w:cs="Times New Roman"/>
          <w:noProof/>
          <w:sz w:val="18"/>
          <w:szCs w:val="24"/>
        </w:rPr>
        <w:tab/>
        <w:t xml:space="preserve">de Vries ALC, McGuire JK, Steensma TD, Wagenaar ECF, Doreleijers TAH, Cohen-Kettenis PT. </w:t>
      </w:r>
      <w:r w:rsidRPr="00004609">
        <w:rPr>
          <w:rFonts w:ascii="Calibri" w:hAnsi="Calibri" w:cs="Times New Roman"/>
          <w:noProof/>
          <w:sz w:val="18"/>
          <w:szCs w:val="24"/>
          <w:lang w:val="en-US"/>
        </w:rPr>
        <w:t xml:space="preserve">Young adult psychological outcome after puberty suppression and gender reassignment. </w:t>
      </w:r>
      <w:r w:rsidRPr="002C52CA">
        <w:rPr>
          <w:rFonts w:ascii="Calibri" w:hAnsi="Calibri" w:cs="Times New Roman"/>
          <w:noProof/>
          <w:sz w:val="18"/>
          <w:szCs w:val="24"/>
        </w:rPr>
        <w:t xml:space="preserve">Pediatrics. 2014;134(4):696–704. </w:t>
      </w:r>
    </w:p>
    <w:p w14:paraId="185D7916"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2C52CA">
        <w:rPr>
          <w:rFonts w:ascii="Calibri" w:hAnsi="Calibri" w:cs="Times New Roman"/>
          <w:noProof/>
          <w:sz w:val="18"/>
          <w:szCs w:val="24"/>
        </w:rPr>
        <w:t xml:space="preserve">15. </w:t>
      </w:r>
      <w:r w:rsidRPr="002C52CA">
        <w:rPr>
          <w:rFonts w:ascii="Calibri" w:hAnsi="Calibri" w:cs="Times New Roman"/>
          <w:noProof/>
          <w:sz w:val="18"/>
          <w:szCs w:val="24"/>
        </w:rPr>
        <w:tab/>
        <w:t xml:space="preserve">Cohen-Kettenis PT, Delemarre-van de Waal HA, Gooren LJG. </w:t>
      </w:r>
      <w:r w:rsidRPr="00004609">
        <w:rPr>
          <w:rFonts w:ascii="Calibri" w:hAnsi="Calibri" w:cs="Times New Roman"/>
          <w:noProof/>
          <w:sz w:val="18"/>
          <w:szCs w:val="24"/>
          <w:lang w:val="en-US"/>
        </w:rPr>
        <w:t xml:space="preserve">The Treatment of Adolescent Transsexuals: Changing Insights. J Sex Med. 2008;5(8):1892–7. </w:t>
      </w:r>
    </w:p>
    <w:p w14:paraId="54FB118A"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16. </w:t>
      </w:r>
      <w:r w:rsidRPr="00004609">
        <w:rPr>
          <w:rFonts w:ascii="Calibri" w:hAnsi="Calibri" w:cs="Times New Roman"/>
          <w:noProof/>
          <w:sz w:val="18"/>
          <w:szCs w:val="24"/>
          <w:lang w:val="en-US"/>
        </w:rPr>
        <w:tab/>
        <w:t xml:space="preserve">Khatchadourian K, Amed S, Metzger DL. Clinical Management of Youth with Gender Dysphoria in Vancouver. J Pediatr. Elsevier Ltd; 2014;164(4):906–11. </w:t>
      </w:r>
    </w:p>
    <w:p w14:paraId="3EDCBF16"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17. </w:t>
      </w:r>
      <w:r w:rsidRPr="00004609">
        <w:rPr>
          <w:rFonts w:ascii="Calibri" w:hAnsi="Calibri" w:cs="Times New Roman"/>
          <w:noProof/>
          <w:sz w:val="18"/>
          <w:szCs w:val="24"/>
          <w:lang w:val="en-US"/>
        </w:rPr>
        <w:tab/>
        <w:t xml:space="preserve">Schröder FH. Cyproterone acetate--mechanism of action and clinical effectiveness in prostate cancer treatment. Cancer. 1993;72(12 Suppl):3810–5. </w:t>
      </w:r>
    </w:p>
    <w:p w14:paraId="359B94AC"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18. </w:t>
      </w:r>
      <w:r w:rsidRPr="00004609">
        <w:rPr>
          <w:rFonts w:ascii="Calibri" w:hAnsi="Calibri" w:cs="Times New Roman"/>
          <w:noProof/>
          <w:sz w:val="18"/>
          <w:szCs w:val="24"/>
          <w:lang w:val="en-US"/>
        </w:rPr>
        <w:tab/>
        <w:t xml:space="preserve">Wierckx K, Van Caenegem E, Schreiner T, Haraldsen I, Fisher A, Toye K, et al. Cross-Sex Hormone Therapy in Trans Persons Is Safe and Effective at Short-Time Follow-Up: Results from the European Network for the Investigation of Gender Incongruence. J Sex Med. 2014;11:1999–2011. </w:t>
      </w:r>
    </w:p>
    <w:p w14:paraId="2CA3509E"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19. </w:t>
      </w:r>
      <w:r w:rsidRPr="00004609">
        <w:rPr>
          <w:rFonts w:ascii="Calibri" w:hAnsi="Calibri" w:cs="Times New Roman"/>
          <w:noProof/>
          <w:sz w:val="18"/>
          <w:szCs w:val="24"/>
          <w:lang w:val="en-US"/>
        </w:rPr>
        <w:tab/>
        <w:t xml:space="preserve">Hawryluk EB, English JC. Female Adolescent Hair Disorders. J Pediatr Adolesc Gynecol. Elsevier Inc; 2009;22(4):271–81. </w:t>
      </w:r>
    </w:p>
    <w:p w14:paraId="105897D7"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20. </w:t>
      </w:r>
      <w:r w:rsidRPr="00004609">
        <w:rPr>
          <w:rFonts w:ascii="Calibri" w:hAnsi="Calibri" w:cs="Times New Roman"/>
          <w:noProof/>
          <w:sz w:val="18"/>
          <w:szCs w:val="24"/>
          <w:lang w:val="en-US"/>
        </w:rPr>
        <w:tab/>
        <w:t xml:space="preserve">Giltay EJ, Gooren LJG. Effects of Sex Steroid Deprivation / Administration on Hair Growth and Skin Sebum Production in Transsexual. 2014;85(8). </w:t>
      </w:r>
    </w:p>
    <w:p w14:paraId="31C5CFCC"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21. </w:t>
      </w:r>
      <w:r w:rsidRPr="00004609">
        <w:rPr>
          <w:rFonts w:ascii="Calibri" w:hAnsi="Calibri" w:cs="Times New Roman"/>
          <w:noProof/>
          <w:sz w:val="18"/>
          <w:szCs w:val="24"/>
          <w:lang w:val="en-US"/>
        </w:rPr>
        <w:tab/>
        <w:t xml:space="preserve">Cooper AJ, Ismail AA, Phanjoo AL, Love DL. Antiandrogen (cyproterone acetate) therapy in deviant hypersexuality. Br J Psychiatry. 1972;120(554):59–63. </w:t>
      </w:r>
    </w:p>
    <w:p w14:paraId="0CC1A3E6"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22. </w:t>
      </w:r>
      <w:r w:rsidRPr="00004609">
        <w:rPr>
          <w:rFonts w:ascii="Calibri" w:hAnsi="Calibri" w:cs="Times New Roman"/>
          <w:noProof/>
          <w:sz w:val="18"/>
          <w:szCs w:val="24"/>
          <w:lang w:val="en-US"/>
        </w:rPr>
        <w:tab/>
        <w:t xml:space="preserve">Davies TS. Cyproterone Acetate for Male Hypersexuality. J Int Med Res. 1974;2(159). </w:t>
      </w:r>
    </w:p>
    <w:p w14:paraId="7BB95969"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23. </w:t>
      </w:r>
      <w:r w:rsidRPr="00004609">
        <w:rPr>
          <w:rFonts w:ascii="Calibri" w:hAnsi="Calibri" w:cs="Times New Roman"/>
          <w:noProof/>
          <w:sz w:val="18"/>
          <w:szCs w:val="24"/>
          <w:lang w:val="en-US"/>
        </w:rPr>
        <w:tab/>
        <w:t xml:space="preserve">Almeida MQ, Brito VN, Lins TSS, Guerra-Junior G, de Castro M, Antonini SR, et al. Long-term treatment of familial male-limited precocious puberty (testotoxicosis) with cyproterone acetate or ketoconazole. Clin Endocrinol (Oxf). 2008;69(1):93–8. </w:t>
      </w:r>
    </w:p>
    <w:p w14:paraId="10A80D74"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24. </w:t>
      </w:r>
      <w:r w:rsidRPr="00004609">
        <w:rPr>
          <w:rFonts w:ascii="Calibri" w:hAnsi="Calibri" w:cs="Times New Roman"/>
          <w:noProof/>
          <w:sz w:val="18"/>
          <w:szCs w:val="24"/>
          <w:lang w:val="en-US"/>
        </w:rPr>
        <w:tab/>
        <w:t xml:space="preserve">Werder E, Murset G, Zachmann M. Treatment of precocious puberty with cyproterone acetate. Pediatr Res. 1974;8:248–56. </w:t>
      </w:r>
    </w:p>
    <w:p w14:paraId="1A18DBCE"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25. </w:t>
      </w:r>
      <w:r w:rsidRPr="00004609">
        <w:rPr>
          <w:rFonts w:ascii="Calibri" w:hAnsi="Calibri" w:cs="Times New Roman"/>
          <w:noProof/>
          <w:sz w:val="18"/>
          <w:szCs w:val="24"/>
          <w:lang w:val="en-US"/>
        </w:rPr>
        <w:tab/>
        <w:t xml:space="preserve">Goncalves AMG, Page P, Domigo V, Meder J-F, Oppenheim C. Abrupt Regression of a Meningioma after Discontinuation of Cyproterone Treatment. Am J Neuroradiol. 2010;31(8):1504–5. </w:t>
      </w:r>
    </w:p>
    <w:p w14:paraId="46B53E4F"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26. </w:t>
      </w:r>
      <w:r w:rsidRPr="00004609">
        <w:rPr>
          <w:rFonts w:ascii="Calibri" w:hAnsi="Calibri" w:cs="Times New Roman"/>
          <w:noProof/>
          <w:sz w:val="18"/>
          <w:szCs w:val="24"/>
          <w:lang w:val="en-US"/>
        </w:rPr>
        <w:tab/>
        <w:t xml:space="preserve">García-Malpartida K, Martín-Gorgojo A, Rocha M, Gómez-Balaguer M, Hernández-Mijares A. Prolactinoma induced by estrogen and cyproterone acetate in a male-to-female transsexual. Fertil Steril. 2010;94(3):1097.e13–1097.e15. </w:t>
      </w:r>
    </w:p>
    <w:p w14:paraId="322439B0"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27. </w:t>
      </w:r>
      <w:r w:rsidRPr="00004609">
        <w:rPr>
          <w:rFonts w:ascii="Calibri" w:hAnsi="Calibri" w:cs="Times New Roman"/>
          <w:noProof/>
          <w:sz w:val="18"/>
          <w:szCs w:val="24"/>
          <w:lang w:val="en-US"/>
        </w:rPr>
        <w:tab/>
        <w:t xml:space="preserve">Schindler AE, Campagnoli C, Druckmann R, Huber J, Pasqualini JR, Schweppe KW, et al. Classification and pharmacology of progestins. Maturitas. 2003;46:7–16. </w:t>
      </w:r>
    </w:p>
    <w:p w14:paraId="32C5D860"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28. </w:t>
      </w:r>
      <w:r w:rsidRPr="00004609">
        <w:rPr>
          <w:rFonts w:ascii="Calibri" w:hAnsi="Calibri" w:cs="Times New Roman"/>
          <w:noProof/>
          <w:sz w:val="18"/>
          <w:szCs w:val="24"/>
          <w:lang w:val="en-US"/>
        </w:rPr>
        <w:tab/>
        <w:t xml:space="preserve">Schindler AE. The “newer” progestogens and postmenopausal hormone therapy (HRT). J Steroid Biochem Mol Biol. Elsevier Ltd; 2014;142:48–51. </w:t>
      </w:r>
    </w:p>
    <w:p w14:paraId="6B0AA0A2"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29. </w:t>
      </w:r>
      <w:r w:rsidRPr="00004609">
        <w:rPr>
          <w:rFonts w:ascii="Calibri" w:hAnsi="Calibri" w:cs="Times New Roman"/>
          <w:noProof/>
          <w:sz w:val="18"/>
          <w:szCs w:val="24"/>
          <w:lang w:val="en-US"/>
        </w:rPr>
        <w:tab/>
        <w:t xml:space="preserve">Beck P. Effect of progestins on glucose and lipid metabolism. Ann N Y Acad Sci. 1977;286:434–45. </w:t>
      </w:r>
    </w:p>
    <w:p w14:paraId="11C144D1"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30. </w:t>
      </w:r>
      <w:r w:rsidRPr="00004609">
        <w:rPr>
          <w:rFonts w:ascii="Calibri" w:hAnsi="Calibri" w:cs="Times New Roman"/>
          <w:noProof/>
          <w:sz w:val="18"/>
          <w:szCs w:val="24"/>
          <w:lang w:val="en-US"/>
        </w:rPr>
        <w:tab/>
        <w:t xml:space="preserve">Beck P. Contraceptive steroids: modification of carbohydrate and lipid metabolism. Metabolism. 1973;22(6):841–55. </w:t>
      </w:r>
    </w:p>
    <w:p w14:paraId="3E79B103"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31. </w:t>
      </w:r>
      <w:r w:rsidRPr="00004609">
        <w:rPr>
          <w:rFonts w:ascii="Calibri" w:hAnsi="Calibri" w:cs="Times New Roman"/>
          <w:noProof/>
          <w:sz w:val="18"/>
          <w:szCs w:val="24"/>
          <w:lang w:val="en-US"/>
        </w:rPr>
        <w:tab/>
        <w:t xml:space="preserve">Darney PD. The androgenicity of progestins. Am J Med. 1995 Jan 16;98(1A):104S – 110S. </w:t>
      </w:r>
    </w:p>
    <w:p w14:paraId="5D888493"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32. </w:t>
      </w:r>
      <w:r w:rsidRPr="00004609">
        <w:rPr>
          <w:rFonts w:ascii="Calibri" w:hAnsi="Calibri" w:cs="Times New Roman"/>
          <w:noProof/>
          <w:sz w:val="18"/>
          <w:szCs w:val="24"/>
          <w:lang w:val="en-US"/>
        </w:rPr>
        <w:tab/>
        <w:t xml:space="preserve">Gooren L. Hormone treatment of the adult transsexual patient. Horm Res. 2005;64(SUPPL. 2):31–6. </w:t>
      </w:r>
    </w:p>
    <w:p w14:paraId="5952D5FD"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33. </w:t>
      </w:r>
      <w:r w:rsidRPr="00004609">
        <w:rPr>
          <w:rFonts w:ascii="Calibri" w:hAnsi="Calibri" w:cs="Times New Roman"/>
          <w:noProof/>
          <w:sz w:val="18"/>
          <w:szCs w:val="24"/>
          <w:lang w:val="en-US"/>
        </w:rPr>
        <w:tab/>
        <w:t xml:space="preserve">Asscheman H, T’sjoen G, Lemaire  a, Mas M, Meriggiola MC, Mueller  a, et al. Venous thrombo-embolism as a complication of cross-sex hormone treatment of male-to-female transsexual subjects: a review. Andrologia. </w:t>
      </w:r>
      <w:r w:rsidRPr="00004609">
        <w:rPr>
          <w:rFonts w:ascii="Calibri" w:hAnsi="Calibri" w:cs="Times New Roman"/>
          <w:noProof/>
          <w:sz w:val="18"/>
          <w:szCs w:val="24"/>
          <w:lang w:val="en-US"/>
        </w:rPr>
        <w:lastRenderedPageBreak/>
        <w:t xml:space="preserve">2013;1–5. </w:t>
      </w:r>
    </w:p>
    <w:p w14:paraId="59E83BE7"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34. </w:t>
      </w:r>
      <w:r w:rsidRPr="00004609">
        <w:rPr>
          <w:rFonts w:ascii="Calibri" w:hAnsi="Calibri" w:cs="Times New Roman"/>
          <w:noProof/>
          <w:sz w:val="18"/>
          <w:szCs w:val="24"/>
          <w:lang w:val="en-US"/>
        </w:rPr>
        <w:tab/>
        <w:t xml:space="preserve">HC K, E K, RM S, P S. Response of blood coagulation parameters to elevated endogenous 17 beta-estradiol levels induced by human menopausal gonadotropins. Am J Obstet Gynecol. 140(7):807–10. </w:t>
      </w:r>
    </w:p>
    <w:p w14:paraId="3D4EE376" w14:textId="77777777" w:rsidR="002C52CA" w:rsidRPr="002C52CA"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rPr>
      </w:pPr>
      <w:r w:rsidRPr="00004609">
        <w:rPr>
          <w:rFonts w:ascii="Calibri" w:hAnsi="Calibri" w:cs="Times New Roman"/>
          <w:noProof/>
          <w:sz w:val="18"/>
          <w:szCs w:val="24"/>
          <w:lang w:val="en-US"/>
        </w:rPr>
        <w:t xml:space="preserve">35. </w:t>
      </w:r>
      <w:r w:rsidRPr="00004609">
        <w:rPr>
          <w:rFonts w:ascii="Calibri" w:hAnsi="Calibri" w:cs="Times New Roman"/>
          <w:noProof/>
          <w:sz w:val="18"/>
          <w:szCs w:val="24"/>
          <w:lang w:val="en-US"/>
        </w:rPr>
        <w:tab/>
        <w:t xml:space="preserve">Gooren LJ, Wierckx K, Giltay EJ. Cardiovascular disease in transsexual persons treated with cross-sex hormones: reversal of the traditional sex difference in cardiovascular disease pattern. </w:t>
      </w:r>
      <w:r w:rsidRPr="002C52CA">
        <w:rPr>
          <w:rFonts w:ascii="Calibri" w:hAnsi="Calibri" w:cs="Times New Roman"/>
          <w:noProof/>
          <w:sz w:val="18"/>
          <w:szCs w:val="24"/>
        </w:rPr>
        <w:t xml:space="preserve">Eur J Endocrinol. 2014;170(6):809–19. </w:t>
      </w:r>
    </w:p>
    <w:p w14:paraId="1678F7D7" w14:textId="77777777" w:rsidR="002C52CA" w:rsidRPr="002C52CA"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rPr>
      </w:pPr>
      <w:r w:rsidRPr="002C52CA">
        <w:rPr>
          <w:rFonts w:ascii="Calibri" w:hAnsi="Calibri" w:cs="Times New Roman"/>
          <w:noProof/>
          <w:sz w:val="18"/>
          <w:szCs w:val="24"/>
        </w:rPr>
        <w:t xml:space="preserve">36. </w:t>
      </w:r>
      <w:r w:rsidRPr="002C52CA">
        <w:rPr>
          <w:rFonts w:ascii="Calibri" w:hAnsi="Calibri" w:cs="Times New Roman"/>
          <w:noProof/>
          <w:sz w:val="18"/>
          <w:szCs w:val="24"/>
        </w:rPr>
        <w:tab/>
        <w:t xml:space="preserve">Toorians  a WFT, Thomassen MCLGD, Zweegman S, Magdeleyns EJP, Tans G, Gooren LJG, et al. </w:t>
      </w:r>
      <w:r w:rsidRPr="00004609">
        <w:rPr>
          <w:rFonts w:ascii="Calibri" w:hAnsi="Calibri" w:cs="Times New Roman"/>
          <w:noProof/>
          <w:sz w:val="18"/>
          <w:szCs w:val="24"/>
          <w:lang w:val="en-US"/>
        </w:rPr>
        <w:t xml:space="preserve">Venous thrombosis and changes of hemostatic variables during cross-sex hormone treatment in transsexual people. </w:t>
      </w:r>
      <w:r w:rsidRPr="002C52CA">
        <w:rPr>
          <w:rFonts w:ascii="Calibri" w:hAnsi="Calibri" w:cs="Times New Roman"/>
          <w:noProof/>
          <w:sz w:val="18"/>
          <w:szCs w:val="24"/>
        </w:rPr>
        <w:t xml:space="preserve">J Clin Endocrinol Metab. 2003;88(12):5723–9. </w:t>
      </w:r>
    </w:p>
    <w:p w14:paraId="39C8C201"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2C52CA">
        <w:rPr>
          <w:rFonts w:ascii="Calibri" w:hAnsi="Calibri" w:cs="Times New Roman"/>
          <w:noProof/>
          <w:sz w:val="18"/>
          <w:szCs w:val="24"/>
        </w:rPr>
        <w:t xml:space="preserve">37. </w:t>
      </w:r>
      <w:r w:rsidRPr="002C52CA">
        <w:rPr>
          <w:rFonts w:ascii="Calibri" w:hAnsi="Calibri" w:cs="Times New Roman"/>
          <w:noProof/>
          <w:sz w:val="18"/>
          <w:szCs w:val="24"/>
        </w:rPr>
        <w:tab/>
        <w:t xml:space="preserve">Wierckx KMD, Gooren LMDP, T’Sjoen GMDP. </w:t>
      </w:r>
      <w:r w:rsidRPr="00004609">
        <w:rPr>
          <w:rFonts w:ascii="Calibri" w:hAnsi="Calibri" w:cs="Times New Roman"/>
          <w:noProof/>
          <w:sz w:val="18"/>
          <w:szCs w:val="24"/>
          <w:lang w:val="en-US"/>
        </w:rPr>
        <w:t xml:space="preserve">Clinical Review: Breast Development in Trans Women Receiving Cross-Sex Hormones. [Article]. J Sex Med May. 2014;11:1240–7. </w:t>
      </w:r>
    </w:p>
    <w:p w14:paraId="65C78477"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38. </w:t>
      </w:r>
      <w:r w:rsidRPr="00004609">
        <w:rPr>
          <w:rFonts w:ascii="Calibri" w:hAnsi="Calibri" w:cs="Times New Roman"/>
          <w:noProof/>
          <w:sz w:val="18"/>
          <w:szCs w:val="24"/>
          <w:lang w:val="en-US"/>
        </w:rPr>
        <w:tab/>
        <w:t xml:space="preserve">Van Caenegem E, Wierckx K, Taes Y, Schreiner T, Vandewalle S, Toye K, et al. Preservation of volumetric bone density and geometry in trans women during cross-sex hormonal therapy: a prospective observational study. Osteoporos Int. 2015;26(1):35–47. </w:t>
      </w:r>
    </w:p>
    <w:p w14:paraId="3231BCD9"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39. </w:t>
      </w:r>
      <w:r w:rsidRPr="00004609">
        <w:rPr>
          <w:rFonts w:ascii="Calibri" w:hAnsi="Calibri" w:cs="Times New Roman"/>
          <w:noProof/>
          <w:sz w:val="18"/>
          <w:szCs w:val="24"/>
          <w:lang w:val="en-US"/>
        </w:rPr>
        <w:tab/>
        <w:t xml:space="preserve">Pritchard TJ. Breast Cancer in a Male-to-Female Transsexual. JAMA. American Medical Association; 1988 Apr 15;259(15):2278. </w:t>
      </w:r>
    </w:p>
    <w:p w14:paraId="39268EB9"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40. </w:t>
      </w:r>
      <w:r w:rsidRPr="00004609">
        <w:rPr>
          <w:rFonts w:ascii="Calibri" w:hAnsi="Calibri" w:cs="Times New Roman"/>
          <w:noProof/>
          <w:sz w:val="18"/>
          <w:szCs w:val="24"/>
          <w:lang w:val="en-US"/>
        </w:rPr>
        <w:tab/>
        <w:t xml:space="preserve">Sattari M. Breast Cancer in Male-to-Female Transgender Patients: A Case for Caution. Clin Breast Cancer. Elsevier Inc; 2015;15(1):e67–9. </w:t>
      </w:r>
    </w:p>
    <w:p w14:paraId="173E2A66"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41. </w:t>
      </w:r>
      <w:r w:rsidRPr="00004609">
        <w:rPr>
          <w:rFonts w:ascii="Calibri" w:hAnsi="Calibri" w:cs="Times New Roman"/>
          <w:noProof/>
          <w:sz w:val="18"/>
          <w:szCs w:val="24"/>
          <w:lang w:val="en-US"/>
        </w:rPr>
        <w:tab/>
        <w:t xml:space="preserve">Miksad RA, Bubley G, Church P, Sanda M, Rofsky N, Kaplan I, et al. Prostate cancer in a transgender woman 41 years after initiation of feminization. J Am Med Assoc. 2006;296(19):2316–7. </w:t>
      </w:r>
    </w:p>
    <w:p w14:paraId="46ED40B4"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42. </w:t>
      </w:r>
      <w:r w:rsidRPr="00004609">
        <w:rPr>
          <w:rFonts w:ascii="Calibri" w:hAnsi="Calibri" w:cs="Times New Roman"/>
          <w:noProof/>
          <w:sz w:val="18"/>
          <w:szCs w:val="24"/>
          <w:lang w:val="en-US"/>
        </w:rPr>
        <w:tab/>
        <w:t xml:space="preserve">Mueller A, Gooren L. Hormone-related tumors in transsexuals receiving treatment with cross-sex hormones. Eur J Endocrinol. 2008;159(3):197–202. </w:t>
      </w:r>
    </w:p>
    <w:p w14:paraId="16D81555" w14:textId="77777777" w:rsidR="002C52CA" w:rsidRPr="002C52CA"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rPr>
      </w:pPr>
      <w:r w:rsidRPr="00004609">
        <w:rPr>
          <w:rFonts w:ascii="Calibri" w:hAnsi="Calibri" w:cs="Times New Roman"/>
          <w:noProof/>
          <w:sz w:val="18"/>
          <w:szCs w:val="24"/>
          <w:lang w:val="en-US"/>
        </w:rPr>
        <w:t xml:space="preserve">43. </w:t>
      </w:r>
      <w:r w:rsidRPr="00004609">
        <w:rPr>
          <w:rFonts w:ascii="Calibri" w:hAnsi="Calibri" w:cs="Times New Roman"/>
          <w:noProof/>
          <w:sz w:val="18"/>
          <w:szCs w:val="24"/>
          <w:lang w:val="en-US"/>
        </w:rPr>
        <w:tab/>
        <w:t xml:space="preserve">Gooren LJ, Ph D. Care of Transsexual Persons. </w:t>
      </w:r>
      <w:r w:rsidRPr="002C52CA">
        <w:rPr>
          <w:rFonts w:ascii="Calibri" w:hAnsi="Calibri" w:cs="Times New Roman"/>
          <w:noProof/>
          <w:sz w:val="18"/>
          <w:szCs w:val="24"/>
        </w:rPr>
        <w:t xml:space="preserve">2011;1251–7. </w:t>
      </w:r>
    </w:p>
    <w:p w14:paraId="7AB70C7B" w14:textId="77777777" w:rsidR="002C52CA" w:rsidRPr="002C52CA"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rPr>
      </w:pPr>
      <w:r w:rsidRPr="002C52CA">
        <w:rPr>
          <w:rFonts w:ascii="Calibri" w:hAnsi="Calibri" w:cs="Times New Roman"/>
          <w:noProof/>
          <w:sz w:val="18"/>
          <w:szCs w:val="24"/>
        </w:rPr>
        <w:t xml:space="preserve">44. </w:t>
      </w:r>
      <w:r w:rsidRPr="002C52CA">
        <w:rPr>
          <w:rFonts w:ascii="Calibri" w:hAnsi="Calibri" w:cs="Times New Roman"/>
          <w:noProof/>
          <w:sz w:val="18"/>
          <w:szCs w:val="24"/>
        </w:rPr>
        <w:tab/>
        <w:t xml:space="preserve">Wierckx K, Van de Peer F, Verhaeghe E, Dedecker D, Van Caenegem E, Toye K, et al. </w:t>
      </w:r>
      <w:r w:rsidRPr="00004609">
        <w:rPr>
          <w:rFonts w:ascii="Calibri" w:hAnsi="Calibri" w:cs="Times New Roman"/>
          <w:noProof/>
          <w:sz w:val="18"/>
          <w:szCs w:val="24"/>
          <w:lang w:val="en-US"/>
        </w:rPr>
        <w:t xml:space="preserve">Short- and Long-Term Clinical Skin Effects of Testosterone Treatment in Trans Men. </w:t>
      </w:r>
      <w:r w:rsidRPr="002C52CA">
        <w:rPr>
          <w:rFonts w:ascii="Calibri" w:hAnsi="Calibri" w:cs="Times New Roman"/>
          <w:noProof/>
          <w:sz w:val="18"/>
          <w:szCs w:val="24"/>
        </w:rPr>
        <w:t xml:space="preserve">J Sex Med. 2014;11(1):222–9. </w:t>
      </w:r>
    </w:p>
    <w:p w14:paraId="5B66CA23" w14:textId="77777777" w:rsidR="002C52CA" w:rsidRPr="002C52CA"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rPr>
      </w:pPr>
      <w:r w:rsidRPr="002C52CA">
        <w:rPr>
          <w:rFonts w:ascii="Calibri" w:hAnsi="Calibri" w:cs="Times New Roman"/>
          <w:noProof/>
          <w:sz w:val="18"/>
          <w:szCs w:val="24"/>
        </w:rPr>
        <w:t xml:space="preserve">45. </w:t>
      </w:r>
      <w:r w:rsidRPr="002C52CA">
        <w:rPr>
          <w:rFonts w:ascii="Calibri" w:hAnsi="Calibri" w:cs="Times New Roman"/>
          <w:noProof/>
          <w:sz w:val="18"/>
          <w:szCs w:val="24"/>
        </w:rPr>
        <w:tab/>
        <w:t xml:space="preserve">Van Caenegem E, Wierckx K, Taes Y, Dedecker D, Van De Peer F, Toye K, et al. </w:t>
      </w:r>
      <w:r w:rsidRPr="00004609">
        <w:rPr>
          <w:rFonts w:ascii="Calibri" w:hAnsi="Calibri" w:cs="Times New Roman"/>
          <w:noProof/>
          <w:sz w:val="18"/>
          <w:szCs w:val="24"/>
          <w:lang w:val="en-US"/>
        </w:rPr>
        <w:t xml:space="preserve">Bone mass, bone geometry, and body composition in female-to-male transsexual persons after long-term cross-sex hormonal therapy. </w:t>
      </w:r>
      <w:r w:rsidRPr="002C52CA">
        <w:rPr>
          <w:rFonts w:ascii="Calibri" w:hAnsi="Calibri" w:cs="Times New Roman"/>
          <w:noProof/>
          <w:sz w:val="18"/>
          <w:szCs w:val="24"/>
        </w:rPr>
        <w:t xml:space="preserve">J Clin Endocrinol Metab. 2012;97(7):2503–11. </w:t>
      </w:r>
    </w:p>
    <w:p w14:paraId="11657982"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2C52CA">
        <w:rPr>
          <w:rFonts w:ascii="Calibri" w:hAnsi="Calibri" w:cs="Times New Roman"/>
          <w:noProof/>
          <w:sz w:val="18"/>
          <w:szCs w:val="24"/>
        </w:rPr>
        <w:t xml:space="preserve">46. </w:t>
      </w:r>
      <w:r w:rsidRPr="002C52CA">
        <w:rPr>
          <w:rFonts w:ascii="Calibri" w:hAnsi="Calibri" w:cs="Times New Roman"/>
          <w:noProof/>
          <w:sz w:val="18"/>
          <w:szCs w:val="24"/>
        </w:rPr>
        <w:tab/>
        <w:t xml:space="preserve">Van Caenegem E, Wierckx K, Taes Y, Schreiner T, Vandewalle S, Toye K, et al. </w:t>
      </w:r>
      <w:r w:rsidRPr="00004609">
        <w:rPr>
          <w:rFonts w:ascii="Calibri" w:hAnsi="Calibri" w:cs="Times New Roman"/>
          <w:noProof/>
          <w:sz w:val="18"/>
          <w:szCs w:val="24"/>
          <w:lang w:val="en-US"/>
        </w:rPr>
        <w:t xml:space="preserve">Body composition, bone turnover, and bone mass in trans men during testosterone treatment: 1-year follow-up data from a prospective case-controlled study (ENIGI). Eur J Endocrinol. 2014;172(2):163–71. </w:t>
      </w:r>
    </w:p>
    <w:p w14:paraId="7CF32D11"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47. </w:t>
      </w:r>
      <w:r w:rsidRPr="00004609">
        <w:rPr>
          <w:rFonts w:ascii="Calibri" w:hAnsi="Calibri" w:cs="Times New Roman"/>
          <w:noProof/>
          <w:sz w:val="18"/>
          <w:szCs w:val="24"/>
          <w:lang w:val="en-US"/>
        </w:rPr>
        <w:tab/>
        <w:t xml:space="preserve">Gooren LJ. Management of female-to-male transgender persons. Curr Opin Endocrinol Diabetes Obes. 2014;21(3):233–8. </w:t>
      </w:r>
    </w:p>
    <w:p w14:paraId="1814D1E6"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48. </w:t>
      </w:r>
      <w:r w:rsidRPr="00004609">
        <w:rPr>
          <w:rFonts w:ascii="Calibri" w:hAnsi="Calibri" w:cs="Times New Roman"/>
          <w:noProof/>
          <w:sz w:val="18"/>
          <w:szCs w:val="24"/>
          <w:lang w:val="en-US"/>
        </w:rPr>
        <w:tab/>
        <w:t xml:space="preserve">Klink D, Caris M, Heijboer A, van Trotsenburg M, Rotteveel J. Bone Mass in Young Adulthood Following Gonadotropin-Releasing Hormone Analog Treatment and Cross-Sex Hormone Treatment in Adolescents With Gender Dysphoria. J Clin Endocrinol Metab. 2015;100(2):E270–5. </w:t>
      </w:r>
    </w:p>
    <w:p w14:paraId="71C52D9B"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49. </w:t>
      </w:r>
      <w:r w:rsidRPr="00004609">
        <w:rPr>
          <w:rFonts w:ascii="Calibri" w:hAnsi="Calibri" w:cs="Times New Roman"/>
          <w:noProof/>
          <w:sz w:val="18"/>
          <w:szCs w:val="24"/>
          <w:lang w:val="en-US"/>
        </w:rPr>
        <w:tab/>
        <w:t xml:space="preserve">Cohen-Kettenis PT, Klink D. Adolescents with gender dysphoria. Best Pract Res Clin Endocrinol Metab. Elsevier Ltd; 2015;29(3):485–95. </w:t>
      </w:r>
    </w:p>
    <w:p w14:paraId="34739755"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50. </w:t>
      </w:r>
      <w:r w:rsidRPr="00004609">
        <w:rPr>
          <w:rFonts w:ascii="Calibri" w:hAnsi="Calibri" w:cs="Times New Roman"/>
          <w:noProof/>
          <w:sz w:val="18"/>
          <w:szCs w:val="24"/>
          <w:lang w:val="en-US"/>
        </w:rPr>
        <w:tab/>
        <w:t xml:space="preserve">Tack LJW, Craen M, Dhondt K, Vanden Bossche H, Laridaen J, Cools M. Consecutive lynestrenol and cross-sex hormone treatment in biological female adolescents with gender dysphoria: a retrospective analysis. Biol Sex Differ. Biology of Sex Differences; 2016;7(1):14. </w:t>
      </w:r>
    </w:p>
    <w:p w14:paraId="518173D1" w14:textId="77777777" w:rsidR="002C52CA" w:rsidRPr="002C52CA"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rPr>
      </w:pPr>
      <w:r w:rsidRPr="00004609">
        <w:rPr>
          <w:rFonts w:ascii="Calibri" w:hAnsi="Calibri" w:cs="Times New Roman"/>
          <w:noProof/>
          <w:sz w:val="18"/>
          <w:szCs w:val="24"/>
          <w:lang w:val="en-US"/>
        </w:rPr>
        <w:t xml:space="preserve">51. </w:t>
      </w:r>
      <w:r w:rsidRPr="00004609">
        <w:rPr>
          <w:rFonts w:ascii="Calibri" w:hAnsi="Calibri" w:cs="Times New Roman"/>
          <w:noProof/>
          <w:sz w:val="18"/>
          <w:szCs w:val="24"/>
          <w:lang w:val="en-US"/>
        </w:rPr>
        <w:tab/>
        <w:t xml:space="preserve">Cools M, Craen M, T’Sjoen G. The endocrine treatment of transsexual adolescents. </w:t>
      </w:r>
      <w:r w:rsidRPr="002C52CA">
        <w:rPr>
          <w:rFonts w:ascii="Calibri" w:hAnsi="Calibri" w:cs="Times New Roman"/>
          <w:noProof/>
          <w:sz w:val="18"/>
          <w:szCs w:val="24"/>
        </w:rPr>
        <w:t xml:space="preserve">Tijdschr van Belgische Kinderarts. 2010;12(1):28–33. </w:t>
      </w:r>
    </w:p>
    <w:p w14:paraId="6E44EDE4" w14:textId="77777777" w:rsidR="002C52CA" w:rsidRPr="002C52CA"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rPr>
      </w:pPr>
      <w:r w:rsidRPr="002C52CA">
        <w:rPr>
          <w:rFonts w:ascii="Calibri" w:hAnsi="Calibri" w:cs="Times New Roman"/>
          <w:noProof/>
          <w:sz w:val="18"/>
          <w:szCs w:val="24"/>
        </w:rPr>
        <w:t xml:space="preserve">52. </w:t>
      </w:r>
      <w:r w:rsidRPr="002C52CA">
        <w:rPr>
          <w:rFonts w:ascii="Calibri" w:hAnsi="Calibri" w:cs="Times New Roman"/>
          <w:noProof/>
          <w:sz w:val="18"/>
          <w:szCs w:val="24"/>
        </w:rPr>
        <w:tab/>
        <w:t xml:space="preserve">Kelly TL, Wilson KE, Heymsfield SB. </w:t>
      </w:r>
      <w:r w:rsidRPr="00004609">
        <w:rPr>
          <w:rFonts w:ascii="Calibri" w:hAnsi="Calibri" w:cs="Times New Roman"/>
          <w:noProof/>
          <w:sz w:val="18"/>
          <w:szCs w:val="24"/>
          <w:lang w:val="en-US"/>
        </w:rPr>
        <w:t xml:space="preserve">Dual energy X-ray absorptiometry body composition reference values from NHANES. </w:t>
      </w:r>
      <w:r w:rsidRPr="002C52CA">
        <w:rPr>
          <w:rFonts w:ascii="Calibri" w:hAnsi="Calibri" w:cs="Times New Roman"/>
          <w:noProof/>
          <w:sz w:val="18"/>
          <w:szCs w:val="24"/>
        </w:rPr>
        <w:t xml:space="preserve">PLoS One. 2009;4(9):2–9. </w:t>
      </w:r>
    </w:p>
    <w:p w14:paraId="65674347" w14:textId="77777777" w:rsidR="002C52CA" w:rsidRPr="002C52CA"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rPr>
      </w:pPr>
      <w:r w:rsidRPr="002C52CA">
        <w:rPr>
          <w:rFonts w:ascii="Calibri" w:hAnsi="Calibri" w:cs="Times New Roman"/>
          <w:noProof/>
          <w:sz w:val="18"/>
          <w:szCs w:val="24"/>
        </w:rPr>
        <w:t xml:space="preserve">53. </w:t>
      </w:r>
      <w:r w:rsidRPr="002C52CA">
        <w:rPr>
          <w:rFonts w:ascii="Calibri" w:hAnsi="Calibri" w:cs="Times New Roman"/>
          <w:noProof/>
          <w:sz w:val="18"/>
          <w:szCs w:val="24"/>
        </w:rPr>
        <w:tab/>
        <w:t xml:space="preserve">Kalkwarf HJ, Zemel BS, Gilsanz V, Lappe JM, Horlick M, Oberfield S, et al. </w:t>
      </w:r>
      <w:r w:rsidRPr="00004609">
        <w:rPr>
          <w:rFonts w:ascii="Calibri" w:hAnsi="Calibri" w:cs="Times New Roman"/>
          <w:noProof/>
          <w:sz w:val="18"/>
          <w:szCs w:val="24"/>
          <w:lang w:val="en-US"/>
        </w:rPr>
        <w:t xml:space="preserve">The bone mineral density in childhood study: Bone mineral content and density according to age, sex, and race. </w:t>
      </w:r>
      <w:r w:rsidRPr="002C52CA">
        <w:rPr>
          <w:rFonts w:ascii="Calibri" w:hAnsi="Calibri" w:cs="Times New Roman"/>
          <w:noProof/>
          <w:sz w:val="18"/>
          <w:szCs w:val="24"/>
        </w:rPr>
        <w:t xml:space="preserve">J Clin Endocrinol Metab. 2007;92(6):2087–99. </w:t>
      </w:r>
    </w:p>
    <w:p w14:paraId="458CF9F2"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2C52CA">
        <w:rPr>
          <w:rFonts w:ascii="Calibri" w:hAnsi="Calibri" w:cs="Times New Roman"/>
          <w:noProof/>
          <w:sz w:val="18"/>
          <w:szCs w:val="24"/>
        </w:rPr>
        <w:t xml:space="preserve">54. </w:t>
      </w:r>
      <w:r w:rsidRPr="002C52CA">
        <w:rPr>
          <w:rFonts w:ascii="Calibri" w:hAnsi="Calibri" w:cs="Times New Roman"/>
          <w:noProof/>
          <w:sz w:val="18"/>
          <w:szCs w:val="24"/>
        </w:rPr>
        <w:tab/>
        <w:t xml:space="preserve">Roggen I, Roelants M, Sioen I, Vandewalle S, De Henauw S, Goemaere S, et al. </w:t>
      </w:r>
      <w:r w:rsidRPr="00004609">
        <w:rPr>
          <w:rFonts w:ascii="Calibri" w:hAnsi="Calibri" w:cs="Times New Roman"/>
          <w:noProof/>
          <w:sz w:val="18"/>
          <w:szCs w:val="24"/>
          <w:lang w:val="en-US"/>
        </w:rPr>
        <w:t xml:space="preserve">Pediatric reference values for tibial trabecular bone mineral density and bone geometry parameters using peripheral quantitative computed tomography. - PubMed - NCBI. Calcif Tissue Int. 2015;96(6):527–33. </w:t>
      </w:r>
    </w:p>
    <w:p w14:paraId="4C5D9C1E" w14:textId="77777777" w:rsidR="002C52CA" w:rsidRPr="002C52CA"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rPr>
      </w:pPr>
      <w:r w:rsidRPr="00004609">
        <w:rPr>
          <w:rFonts w:ascii="Calibri" w:hAnsi="Calibri" w:cs="Times New Roman"/>
          <w:noProof/>
          <w:sz w:val="18"/>
          <w:szCs w:val="24"/>
          <w:lang w:val="en-US"/>
        </w:rPr>
        <w:t xml:space="preserve">55. </w:t>
      </w:r>
      <w:r w:rsidRPr="00004609">
        <w:rPr>
          <w:rFonts w:ascii="Calibri" w:hAnsi="Calibri" w:cs="Times New Roman"/>
          <w:noProof/>
          <w:sz w:val="18"/>
          <w:szCs w:val="24"/>
          <w:lang w:val="en-US"/>
        </w:rPr>
        <w:tab/>
        <w:t xml:space="preserve">Roelants M, Hauspie R, Hoppenbrouwers K. References for growth and pubertal development from birth to 21 years in Flanders, Belgium. </w:t>
      </w:r>
      <w:r w:rsidRPr="002C52CA">
        <w:rPr>
          <w:rFonts w:ascii="Calibri" w:hAnsi="Calibri" w:cs="Times New Roman"/>
          <w:noProof/>
          <w:sz w:val="18"/>
          <w:szCs w:val="24"/>
        </w:rPr>
        <w:t xml:space="preserve">Ann Hum Biol. Jan;36(6):680–94. </w:t>
      </w:r>
    </w:p>
    <w:p w14:paraId="3E3B179F"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2C52CA">
        <w:rPr>
          <w:rFonts w:ascii="Calibri" w:hAnsi="Calibri" w:cs="Times New Roman"/>
          <w:noProof/>
          <w:sz w:val="18"/>
          <w:szCs w:val="24"/>
        </w:rPr>
        <w:t xml:space="preserve">56. </w:t>
      </w:r>
      <w:r w:rsidRPr="002C52CA">
        <w:rPr>
          <w:rFonts w:ascii="Calibri" w:hAnsi="Calibri" w:cs="Times New Roman"/>
          <w:noProof/>
          <w:sz w:val="18"/>
          <w:szCs w:val="24"/>
        </w:rPr>
        <w:tab/>
        <w:t xml:space="preserve">Scheys M. Vlaams onderwijs in cijfers 2013-2014. In: Departement Onderwijs en Vorming. </w:t>
      </w:r>
      <w:r w:rsidRPr="00004609">
        <w:rPr>
          <w:rFonts w:ascii="Calibri" w:hAnsi="Calibri" w:cs="Times New Roman"/>
          <w:noProof/>
          <w:sz w:val="18"/>
          <w:szCs w:val="24"/>
          <w:lang w:val="en-US"/>
        </w:rPr>
        <w:t>[Internet]. [cited 2016 Mar 17]. Available from: http://www.onderwijs.vlaanderen.be/onderwijsstatistieken</w:t>
      </w:r>
    </w:p>
    <w:p w14:paraId="7C05F7BD"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57. </w:t>
      </w:r>
      <w:r w:rsidRPr="00004609">
        <w:rPr>
          <w:rFonts w:ascii="Calibri" w:hAnsi="Calibri" w:cs="Times New Roman"/>
          <w:noProof/>
          <w:sz w:val="18"/>
          <w:szCs w:val="24"/>
          <w:lang w:val="en-US"/>
        </w:rPr>
        <w:tab/>
        <w:t xml:space="preserve">Paulus D, Saint-Remy A, Jeanjean M. Smoking during adolescence: Association with other cardiovascular risk factors in Belgian adolescents. 2000; </w:t>
      </w:r>
    </w:p>
    <w:p w14:paraId="0BFE0AB8"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58. </w:t>
      </w:r>
      <w:r w:rsidRPr="00004609">
        <w:rPr>
          <w:rFonts w:ascii="Calibri" w:hAnsi="Calibri" w:cs="Times New Roman"/>
          <w:noProof/>
          <w:sz w:val="18"/>
          <w:szCs w:val="24"/>
          <w:lang w:val="en-US"/>
        </w:rPr>
        <w:tab/>
        <w:t xml:space="preserve">Challier B, Chau N, Prédine R, Choquet M, Legras B, Predine R, et al. Associations of family environment and individual factors with tobacco, alcohol, and illicit drug use in adolescents. Eur J Epidemiol. 2000;16(1):33–42. </w:t>
      </w:r>
    </w:p>
    <w:p w14:paraId="2BEDEE77"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59. </w:t>
      </w:r>
      <w:r w:rsidRPr="00004609">
        <w:rPr>
          <w:rFonts w:ascii="Calibri" w:hAnsi="Calibri" w:cs="Times New Roman"/>
          <w:noProof/>
          <w:sz w:val="18"/>
          <w:szCs w:val="24"/>
          <w:lang w:val="en-US"/>
        </w:rPr>
        <w:tab/>
        <w:t xml:space="preserve">Hartgens F, Kuipers H. Effects of androgenic-anabolic steroids in athletes. Sport Med. 2004;34(8):513–54. </w:t>
      </w:r>
    </w:p>
    <w:p w14:paraId="61E218DB"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60. </w:t>
      </w:r>
      <w:r w:rsidRPr="00004609">
        <w:rPr>
          <w:rFonts w:ascii="Calibri" w:hAnsi="Calibri" w:cs="Times New Roman"/>
          <w:noProof/>
          <w:sz w:val="18"/>
          <w:szCs w:val="24"/>
          <w:lang w:val="en-US"/>
        </w:rPr>
        <w:tab/>
        <w:t xml:space="preserve">Al-Imari L, Wolfman WL. The safety of testosterone therapy in women. J Obstet Gynaecol Canada  JOGC = J d’obstétrique gynécologie du Canada  JOGC. 2012 Sep;34(9):859–65. </w:t>
      </w:r>
    </w:p>
    <w:p w14:paraId="39E06A4B"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61. </w:t>
      </w:r>
      <w:r w:rsidRPr="00004609">
        <w:rPr>
          <w:rFonts w:ascii="Calibri" w:hAnsi="Calibri" w:cs="Times New Roman"/>
          <w:noProof/>
          <w:sz w:val="18"/>
          <w:szCs w:val="24"/>
          <w:lang w:val="en-US"/>
        </w:rPr>
        <w:tab/>
        <w:t xml:space="preserve">Berns JS, Rudnick MR, Cohen RM. A controlled trial of recombinant human erythropoietin and nandrolone decanoate in the treatment of anemia in patients on chronic hemodialysis. Clin Nephrol. 1992 May;37(5):264–7. </w:t>
      </w:r>
    </w:p>
    <w:p w14:paraId="715A85D3"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lastRenderedPageBreak/>
        <w:t xml:space="preserve">62. </w:t>
      </w:r>
      <w:r w:rsidRPr="00004609">
        <w:rPr>
          <w:rFonts w:ascii="Calibri" w:hAnsi="Calibri" w:cs="Times New Roman"/>
          <w:noProof/>
          <w:sz w:val="18"/>
          <w:szCs w:val="24"/>
          <w:lang w:val="en-US"/>
        </w:rPr>
        <w:tab/>
        <w:t xml:space="preserve">Baxmann AC, Ahmed MS, Marques NC, Menon VB, Pereira AB, Kirsztajn GM, et al. Influence of muscle mass and physical activity on serum and urinary creatinine and serum cystatin C. Clin J Am Soc Nephrol. 2008;3(2):348–54. </w:t>
      </w:r>
    </w:p>
    <w:p w14:paraId="38CCF3E7"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63. </w:t>
      </w:r>
      <w:r w:rsidRPr="00004609">
        <w:rPr>
          <w:rFonts w:ascii="Calibri" w:hAnsi="Calibri" w:cs="Times New Roman"/>
          <w:noProof/>
          <w:sz w:val="18"/>
          <w:szCs w:val="24"/>
          <w:lang w:val="en-US"/>
        </w:rPr>
        <w:tab/>
        <w:t xml:space="preserve">Ishak KG. Hepatic lesions caused by anabolic and contraceptive steroids. Semin Liver Dis. 1981 May;1(2):116–28. </w:t>
      </w:r>
    </w:p>
    <w:p w14:paraId="29B5AF53"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64. </w:t>
      </w:r>
      <w:r w:rsidRPr="00004609">
        <w:rPr>
          <w:rFonts w:ascii="Calibri" w:hAnsi="Calibri" w:cs="Times New Roman"/>
          <w:noProof/>
          <w:sz w:val="18"/>
          <w:szCs w:val="24"/>
          <w:lang w:val="en-US"/>
        </w:rPr>
        <w:tab/>
        <w:t xml:space="preserve">Søe KL, Søe M, Gluud C. Liver pathology associated with the use of anabolic-androgenic steroids. Liver. 1992 Apr;12(2):73–9. </w:t>
      </w:r>
    </w:p>
    <w:p w14:paraId="3A13C4CA" w14:textId="77777777" w:rsidR="002C52CA" w:rsidRPr="002C52CA"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rPr>
      </w:pPr>
      <w:r w:rsidRPr="00004609">
        <w:rPr>
          <w:rFonts w:ascii="Calibri" w:hAnsi="Calibri" w:cs="Times New Roman"/>
          <w:noProof/>
          <w:sz w:val="18"/>
          <w:szCs w:val="24"/>
          <w:lang w:val="en-US"/>
        </w:rPr>
        <w:t xml:space="preserve">65. </w:t>
      </w:r>
      <w:r w:rsidRPr="00004609">
        <w:rPr>
          <w:rFonts w:ascii="Calibri" w:hAnsi="Calibri" w:cs="Times New Roman"/>
          <w:noProof/>
          <w:sz w:val="18"/>
          <w:szCs w:val="24"/>
          <w:lang w:val="en-US"/>
        </w:rPr>
        <w:tab/>
        <w:t xml:space="preserve">Freed DL, Banks  a J, Longson D, Burley DM. Anabolic steroids in athelics:  crossover double-blind trial on weightlifters. </w:t>
      </w:r>
      <w:r w:rsidRPr="002C52CA">
        <w:rPr>
          <w:rFonts w:ascii="Calibri" w:hAnsi="Calibri" w:cs="Times New Roman"/>
          <w:noProof/>
          <w:sz w:val="18"/>
          <w:szCs w:val="24"/>
        </w:rPr>
        <w:t xml:space="preserve">Br Med J. 1975;2(May):471–3. </w:t>
      </w:r>
    </w:p>
    <w:p w14:paraId="237157B8"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2C52CA">
        <w:rPr>
          <w:rFonts w:ascii="Calibri" w:hAnsi="Calibri" w:cs="Times New Roman"/>
          <w:noProof/>
          <w:sz w:val="18"/>
          <w:szCs w:val="24"/>
        </w:rPr>
        <w:t xml:space="preserve">66. </w:t>
      </w:r>
      <w:r w:rsidRPr="002C52CA">
        <w:rPr>
          <w:rFonts w:ascii="Calibri" w:hAnsi="Calibri" w:cs="Times New Roman"/>
          <w:noProof/>
          <w:sz w:val="18"/>
          <w:szCs w:val="24"/>
        </w:rPr>
        <w:tab/>
        <w:t xml:space="preserve">Lenders JW, Demacker PN, Vos JA, Jansen PL, Hoitsma AJ, van ’t Laar A, et al. </w:t>
      </w:r>
      <w:r w:rsidRPr="00004609">
        <w:rPr>
          <w:rFonts w:ascii="Calibri" w:hAnsi="Calibri" w:cs="Times New Roman"/>
          <w:noProof/>
          <w:sz w:val="18"/>
          <w:szCs w:val="24"/>
          <w:lang w:val="en-US"/>
        </w:rPr>
        <w:t xml:space="preserve">Deleterious effects of anabolic steroids on serum lipoproteins, blood pressure, and liver function in amateur body builders. Int J Sports Med. 1988 Feb;9(1):19–23. </w:t>
      </w:r>
    </w:p>
    <w:p w14:paraId="4E3EFB9E"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67. </w:t>
      </w:r>
      <w:r w:rsidRPr="00004609">
        <w:rPr>
          <w:rFonts w:ascii="Calibri" w:hAnsi="Calibri" w:cs="Times New Roman"/>
          <w:noProof/>
          <w:sz w:val="18"/>
          <w:szCs w:val="24"/>
          <w:lang w:val="en-US"/>
        </w:rPr>
        <w:tab/>
        <w:t xml:space="preserve">Alén M. Androgenic steroid effects on liver and red cells. Br J Sports Med. 1985 Mar;19(1):15–20. </w:t>
      </w:r>
    </w:p>
    <w:p w14:paraId="6147CB11"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68. </w:t>
      </w:r>
      <w:r w:rsidRPr="00004609">
        <w:rPr>
          <w:rFonts w:ascii="Calibri" w:hAnsi="Calibri" w:cs="Times New Roman"/>
          <w:noProof/>
          <w:sz w:val="18"/>
          <w:szCs w:val="24"/>
          <w:lang w:val="en-US"/>
        </w:rPr>
        <w:tab/>
        <w:t xml:space="preserve">Ruokonen  a, Käär K. Effects of desogestrel, levonorgestrel and lynestrenol on serum sex hormone binding globulin, cortisol binding globulin, ceruloplasmin and HDL-cholesterol. Eur J Obstet Gynecol Reprod Biol. 1985;20(1):13–8. </w:t>
      </w:r>
    </w:p>
    <w:p w14:paraId="1A462FE2"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69. </w:t>
      </w:r>
      <w:r w:rsidRPr="00004609">
        <w:rPr>
          <w:rFonts w:ascii="Calibri" w:hAnsi="Calibri" w:cs="Times New Roman"/>
          <w:noProof/>
          <w:sz w:val="18"/>
          <w:szCs w:val="24"/>
          <w:lang w:val="en-US"/>
        </w:rPr>
        <w:tab/>
        <w:t xml:space="preserve">Goh HH, Loke DF, Ratnam SS. The impact of long-term testosterone replacement therapy on lipid and lipoprotein profiles in women. Maturitas. 1995;21(1):65–70. </w:t>
      </w:r>
    </w:p>
    <w:p w14:paraId="11A7A960"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70. </w:t>
      </w:r>
      <w:r w:rsidRPr="00004609">
        <w:rPr>
          <w:rFonts w:ascii="Calibri" w:hAnsi="Calibri" w:cs="Times New Roman"/>
          <w:noProof/>
          <w:sz w:val="18"/>
          <w:szCs w:val="24"/>
          <w:lang w:val="en-US"/>
        </w:rPr>
        <w:tab/>
        <w:t xml:space="preserve">Gooren LJ, Kreukels B, Lapauw B, Giltay EJ. (Patho)physiology of cross-sex hormone administration to transsexual people: the potential impact of male-female genetic differences. Andrologia. 2015;47(1):5–19. </w:t>
      </w:r>
    </w:p>
    <w:p w14:paraId="68198B29"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71. </w:t>
      </w:r>
      <w:r w:rsidRPr="00004609">
        <w:rPr>
          <w:rFonts w:ascii="Calibri" w:hAnsi="Calibri" w:cs="Times New Roman"/>
          <w:noProof/>
          <w:sz w:val="18"/>
          <w:szCs w:val="24"/>
          <w:lang w:val="en-US"/>
        </w:rPr>
        <w:tab/>
        <w:t xml:space="preserve">FORTUNATO RS, MARASSI MP, CHAVES EA, NASCIMENTO JHM, ROSENTHAL D, CARVALHO DP. Chronic Administration of Anabolic Androgenic Steroid Alters Murine Thyroid Function. Med Sci Sport Exerc. 2006;38(2):256–61. </w:t>
      </w:r>
    </w:p>
    <w:p w14:paraId="36FC8215"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72. </w:t>
      </w:r>
      <w:r w:rsidRPr="00004609">
        <w:rPr>
          <w:rFonts w:ascii="Calibri" w:hAnsi="Calibri" w:cs="Times New Roman"/>
          <w:noProof/>
          <w:sz w:val="18"/>
          <w:szCs w:val="24"/>
          <w:lang w:val="en-US"/>
        </w:rPr>
        <w:tab/>
        <w:t xml:space="preserve">Daly RC, Su TP, Schmidt PJ, Pagliaro M, Pickar D, Rubinow DR. Neuroendocrine and behavioral effects of high-dose anabolic steroid administration in male normal volunteers. Psychoneuroendocrinology. 2003;28:317–31. </w:t>
      </w:r>
    </w:p>
    <w:p w14:paraId="10171F79"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73. </w:t>
      </w:r>
      <w:r w:rsidRPr="00004609">
        <w:rPr>
          <w:rFonts w:ascii="Calibri" w:hAnsi="Calibri" w:cs="Times New Roman"/>
          <w:noProof/>
          <w:sz w:val="18"/>
          <w:szCs w:val="24"/>
          <w:lang w:val="en-US"/>
        </w:rPr>
        <w:tab/>
        <w:t xml:space="preserve">Vendola K a., Zhou J, Adesanya OO, Weil SJ, Bondy C a. Androgens stimulate early stages of follicular growth in the primate ovary. J Clin Invest. 1998;101(12):2622–9. </w:t>
      </w:r>
    </w:p>
    <w:p w14:paraId="621F0F24"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74. </w:t>
      </w:r>
      <w:r w:rsidRPr="00004609">
        <w:rPr>
          <w:rFonts w:ascii="Calibri" w:hAnsi="Calibri" w:cs="Times New Roman"/>
          <w:noProof/>
          <w:sz w:val="18"/>
          <w:szCs w:val="24"/>
          <w:lang w:val="en-US"/>
        </w:rPr>
        <w:tab/>
        <w:t xml:space="preserve">Jamil AS, Alalaf SK, Al-Tawil NG, Al-Shawaf T. Comparison of clinical and hormonal characteristics among four phenotypes of polycystic ovary syndrome based on the Rotterdam criteria. Arch Gynecol Obstet. Springer Berlin Heidelberg; 2015;293(2):447–56. </w:t>
      </w:r>
    </w:p>
    <w:p w14:paraId="5C94BC08"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75. </w:t>
      </w:r>
      <w:r w:rsidRPr="00004609">
        <w:rPr>
          <w:rFonts w:ascii="Calibri" w:hAnsi="Calibri" w:cs="Times New Roman"/>
          <w:noProof/>
          <w:sz w:val="18"/>
          <w:szCs w:val="24"/>
          <w:lang w:val="en-US"/>
        </w:rPr>
        <w:tab/>
        <w:t xml:space="preserve">Pinola P, Morin-Papunen LC, Bloigu  a, Puukka K, Ruokonen  a, Järvelin M-R, et al. Anti-Müllerian hormone: correlation with testosterone and oligo- or amenorrhoea in female adolescence in a population-based cohort study. Hum Reprod. 2014;0(0):1–9. </w:t>
      </w:r>
    </w:p>
    <w:p w14:paraId="50FE6495"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76. </w:t>
      </w:r>
      <w:r w:rsidRPr="00004609">
        <w:rPr>
          <w:rFonts w:ascii="Calibri" w:hAnsi="Calibri" w:cs="Times New Roman"/>
          <w:noProof/>
          <w:sz w:val="18"/>
          <w:szCs w:val="24"/>
          <w:lang w:val="en-US"/>
        </w:rPr>
        <w:tab/>
        <w:t xml:space="preserve">Sopher AB, Grigoriev G, Laura D, Cameo T, Lerner JP, Chang RJ, et al. Anti-Mullerian hormone may be a useful adjunct in the diagnosis of polycystic ovary syndrome in nonobese adolescents. J Pediatr Endocrinol Metab. 2014;27(11-12):1175–9. </w:t>
      </w:r>
    </w:p>
    <w:p w14:paraId="4A6594A0"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77. </w:t>
      </w:r>
      <w:r w:rsidRPr="00004609">
        <w:rPr>
          <w:rFonts w:ascii="Calibri" w:hAnsi="Calibri" w:cs="Times New Roman"/>
          <w:noProof/>
          <w:sz w:val="18"/>
          <w:szCs w:val="24"/>
          <w:lang w:val="en-US"/>
        </w:rPr>
        <w:tab/>
        <w:t xml:space="preserve">Ikeda K, Baba T, Noguchi H, Nagasawa K, Endo T, Kiya T, et al. Excessive androgen exposure in female-to-male transsexual persons of reproductive age induces hyperplasia of the ovarian cortex and stroma but not polycystic ovary morphology. Hum Reprod. 2013;28(2):453–61. </w:t>
      </w:r>
    </w:p>
    <w:p w14:paraId="36039890"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78. </w:t>
      </w:r>
      <w:r w:rsidRPr="00004609">
        <w:rPr>
          <w:rFonts w:ascii="Calibri" w:hAnsi="Calibri" w:cs="Times New Roman"/>
          <w:noProof/>
          <w:sz w:val="18"/>
          <w:szCs w:val="24"/>
          <w:lang w:val="en-US"/>
        </w:rPr>
        <w:tab/>
        <w:t xml:space="preserve">Grynberg M, Fanchin R, Dubost G, Colau J-C, Brémont-Weil C, Frydman R, et al. Histology of genital tract and breast tissue after long-term testosterone administration in a female-to-male transsexual population. Reprod Biomed Online. 2010;20(4):553–8. </w:t>
      </w:r>
    </w:p>
    <w:p w14:paraId="4300AF5E"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79. </w:t>
      </w:r>
      <w:r w:rsidRPr="00004609">
        <w:rPr>
          <w:rFonts w:ascii="Calibri" w:hAnsi="Calibri" w:cs="Times New Roman"/>
          <w:noProof/>
          <w:sz w:val="18"/>
          <w:szCs w:val="24"/>
          <w:lang w:val="en-US"/>
        </w:rPr>
        <w:tab/>
        <w:t xml:space="preserve">Futterweit W, Deligdisch L. Histopathological effects of exogenously administered testosterone in 19 female to male transsexuals. J Clin Endocrinol Metab. 1986 Jan;62(1):16–21. </w:t>
      </w:r>
    </w:p>
    <w:p w14:paraId="0C5487F0" w14:textId="77777777" w:rsidR="002C52CA" w:rsidRPr="002C52CA"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rPr>
      </w:pPr>
      <w:r w:rsidRPr="00004609">
        <w:rPr>
          <w:rFonts w:ascii="Calibri" w:hAnsi="Calibri" w:cs="Times New Roman"/>
          <w:noProof/>
          <w:sz w:val="18"/>
          <w:szCs w:val="24"/>
          <w:lang w:val="en-US"/>
        </w:rPr>
        <w:t xml:space="preserve">80. </w:t>
      </w:r>
      <w:r w:rsidRPr="00004609">
        <w:rPr>
          <w:rFonts w:ascii="Calibri" w:hAnsi="Calibri" w:cs="Times New Roman"/>
          <w:noProof/>
          <w:sz w:val="18"/>
          <w:szCs w:val="24"/>
          <w:lang w:val="en-US"/>
        </w:rPr>
        <w:tab/>
        <w:t xml:space="preserve">Spinder T, Spijkstra JJ, Gooren LJ, Hompes PG, van Kessel H. Effects of long-term testosterone administration on gonadotropin secretion in agonadal female to male transsexuals compared with hypogonadal and normal women. </w:t>
      </w:r>
      <w:r w:rsidRPr="002C52CA">
        <w:rPr>
          <w:rFonts w:ascii="Calibri" w:hAnsi="Calibri" w:cs="Times New Roman"/>
          <w:noProof/>
          <w:sz w:val="18"/>
          <w:szCs w:val="24"/>
        </w:rPr>
        <w:t xml:space="preserve">J Clin Endocrinol Metab. 1989 Jan;68(1):200–7. </w:t>
      </w:r>
    </w:p>
    <w:p w14:paraId="21EFAD0C"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2C52CA">
        <w:rPr>
          <w:rFonts w:ascii="Calibri" w:hAnsi="Calibri" w:cs="Times New Roman"/>
          <w:noProof/>
          <w:sz w:val="18"/>
          <w:szCs w:val="24"/>
        </w:rPr>
        <w:t xml:space="preserve">81. </w:t>
      </w:r>
      <w:r w:rsidRPr="002C52CA">
        <w:rPr>
          <w:rFonts w:ascii="Calibri" w:hAnsi="Calibri" w:cs="Times New Roman"/>
          <w:noProof/>
          <w:sz w:val="18"/>
          <w:szCs w:val="24"/>
        </w:rPr>
        <w:tab/>
        <w:t xml:space="preserve">Caanen MR, Soleman RS, Kuijper EAM, Kreukels BPC, De Roo C, Tilleman K, et al. </w:t>
      </w:r>
      <w:r w:rsidRPr="00004609">
        <w:rPr>
          <w:rFonts w:ascii="Calibri" w:hAnsi="Calibri" w:cs="Times New Roman"/>
          <w:noProof/>
          <w:sz w:val="18"/>
          <w:szCs w:val="24"/>
          <w:lang w:val="en-US"/>
        </w:rPr>
        <w:t xml:space="preserve">Antimüllerian hormone levels decrease in female-to-male transsexuals using testosterone as cross-sex therapy. Fertil Steril. 2015;103(5):1340–5. </w:t>
      </w:r>
    </w:p>
    <w:p w14:paraId="02CE7B4E"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82. </w:t>
      </w:r>
      <w:r w:rsidRPr="00004609">
        <w:rPr>
          <w:rFonts w:ascii="Calibri" w:hAnsi="Calibri" w:cs="Times New Roman"/>
          <w:noProof/>
          <w:sz w:val="18"/>
          <w:szCs w:val="24"/>
          <w:lang w:val="en-US"/>
        </w:rPr>
        <w:tab/>
        <w:t xml:space="preserve">Wallace PM, Rasmussen S. Analysis of Adulterated Silicone: Implications for Health Promotion. Int J Transgenderism. Taylor &amp; Francis Group; 2010 Oct 12;12(3):167–75. </w:t>
      </w:r>
    </w:p>
    <w:p w14:paraId="465D1FED" w14:textId="77777777" w:rsidR="002C52CA" w:rsidRPr="002C52CA"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rPr>
      </w:pPr>
      <w:r w:rsidRPr="00004609">
        <w:rPr>
          <w:rFonts w:ascii="Calibri" w:hAnsi="Calibri" w:cs="Times New Roman"/>
          <w:noProof/>
          <w:sz w:val="18"/>
          <w:szCs w:val="24"/>
          <w:lang w:val="en-US"/>
        </w:rPr>
        <w:t xml:space="preserve">83. </w:t>
      </w:r>
      <w:r w:rsidRPr="00004609">
        <w:rPr>
          <w:rFonts w:ascii="Calibri" w:hAnsi="Calibri" w:cs="Times New Roman"/>
          <w:noProof/>
          <w:sz w:val="18"/>
          <w:szCs w:val="24"/>
          <w:lang w:val="en-US"/>
        </w:rPr>
        <w:tab/>
        <w:t xml:space="preserve">Haseen F, Murray LJ, Cardwell CR, O’Sullivan JM, Cantwell MM. The effect of androgen deprivation therapy on body composition in men with prostate cancer: systematic review and meta-analysis. </w:t>
      </w:r>
      <w:r w:rsidRPr="002C52CA">
        <w:rPr>
          <w:rFonts w:ascii="Calibri" w:hAnsi="Calibri" w:cs="Times New Roman"/>
          <w:noProof/>
          <w:sz w:val="18"/>
          <w:szCs w:val="24"/>
        </w:rPr>
        <w:t xml:space="preserve">J Cancer Surviv. 2010;4(2):128–39. </w:t>
      </w:r>
    </w:p>
    <w:p w14:paraId="7D9E909A"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2C52CA">
        <w:rPr>
          <w:rFonts w:ascii="Calibri" w:hAnsi="Calibri" w:cs="Times New Roman"/>
          <w:noProof/>
          <w:sz w:val="18"/>
          <w:szCs w:val="24"/>
        </w:rPr>
        <w:t xml:space="preserve">84. </w:t>
      </w:r>
      <w:r w:rsidRPr="002C52CA">
        <w:rPr>
          <w:rFonts w:ascii="Calibri" w:hAnsi="Calibri" w:cs="Times New Roman"/>
          <w:noProof/>
          <w:sz w:val="18"/>
          <w:szCs w:val="24"/>
        </w:rPr>
        <w:tab/>
        <w:t xml:space="preserve">van de Grift TC, Cohen-Kettenis PT, Steensma TD, De Cuypere G, Richter-Appelt H, Haraldsen IRH, et al. </w:t>
      </w:r>
      <w:r w:rsidRPr="00004609">
        <w:rPr>
          <w:rFonts w:ascii="Calibri" w:hAnsi="Calibri" w:cs="Times New Roman"/>
          <w:noProof/>
          <w:sz w:val="18"/>
          <w:szCs w:val="24"/>
          <w:lang w:val="en-US"/>
        </w:rPr>
        <w:t xml:space="preserve">Body Satisfaction and Physical Appearance in Gender Dysphoria. Arch Sex Behav. Springer US; 2015; </w:t>
      </w:r>
    </w:p>
    <w:p w14:paraId="471E5C0E"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85. </w:t>
      </w:r>
      <w:r w:rsidRPr="00004609">
        <w:rPr>
          <w:rFonts w:ascii="Calibri" w:hAnsi="Calibri" w:cs="Times New Roman"/>
          <w:noProof/>
          <w:sz w:val="18"/>
          <w:szCs w:val="24"/>
          <w:lang w:val="en-US"/>
        </w:rPr>
        <w:tab/>
        <w:t xml:space="preserve">Jones BA, Haycraft E, Murjan S, Arcelus J. Body dissatisfaction and disordered eating in trans people: A systematic review of the literature. Int Rev Psychiatry. 2016 Feb;28(1):81–94. </w:t>
      </w:r>
    </w:p>
    <w:p w14:paraId="72BE6584"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86. </w:t>
      </w:r>
      <w:r w:rsidRPr="00004609">
        <w:rPr>
          <w:rFonts w:ascii="Calibri" w:hAnsi="Calibri" w:cs="Times New Roman"/>
          <w:noProof/>
          <w:sz w:val="18"/>
          <w:szCs w:val="24"/>
          <w:lang w:val="en-US"/>
        </w:rPr>
        <w:tab/>
        <w:t xml:space="preserve">Strum SE, McDermed JE, Scholz MC, Johnson H, Tisman G. Anaemia associated with androgen deprivation in patients with prostate cancer receiving combined hormone blockade. Br J Urol. 1997;79:933–41. </w:t>
      </w:r>
    </w:p>
    <w:p w14:paraId="0D497064"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87. </w:t>
      </w:r>
      <w:r w:rsidRPr="00004609">
        <w:rPr>
          <w:rFonts w:ascii="Calibri" w:hAnsi="Calibri" w:cs="Times New Roman"/>
          <w:noProof/>
          <w:sz w:val="18"/>
          <w:szCs w:val="24"/>
          <w:lang w:val="en-US"/>
        </w:rPr>
        <w:tab/>
        <w:t xml:space="preserve">Murphy WG. The sex difference in haemoglobin levels in adults - Mechanisms, causes, and consequences. Blood Rev. Elsevier Ltd; 2014;28(2):41–7. </w:t>
      </w:r>
    </w:p>
    <w:p w14:paraId="5569747C"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88. </w:t>
      </w:r>
      <w:r w:rsidRPr="00004609">
        <w:rPr>
          <w:rFonts w:ascii="Calibri" w:hAnsi="Calibri" w:cs="Times New Roman"/>
          <w:noProof/>
          <w:sz w:val="18"/>
          <w:szCs w:val="24"/>
          <w:lang w:val="en-US"/>
        </w:rPr>
        <w:tab/>
        <w:t xml:space="preserve">Strutz F, Müller G a. The impact of gender on the progression of chronic renal disease. Nephron. 1995;69(4):371–9. </w:t>
      </w:r>
    </w:p>
    <w:p w14:paraId="49A68FD0"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89. </w:t>
      </w:r>
      <w:r w:rsidRPr="00004609">
        <w:rPr>
          <w:rFonts w:ascii="Calibri" w:hAnsi="Calibri" w:cs="Times New Roman"/>
          <w:noProof/>
          <w:sz w:val="18"/>
          <w:szCs w:val="24"/>
          <w:lang w:val="en-US"/>
        </w:rPr>
        <w:tab/>
        <w:t xml:space="preserve">Mankhey RW. 17 -Estradiol replacement improves renal function and pathology associated with diabetic nephropathy. AJP Ren Physiol. 2004;288(2):F399–405. </w:t>
      </w:r>
    </w:p>
    <w:p w14:paraId="15E80571" w14:textId="77777777" w:rsidR="002C52CA" w:rsidRPr="002C52CA"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rPr>
      </w:pPr>
      <w:r w:rsidRPr="00004609">
        <w:rPr>
          <w:rFonts w:ascii="Calibri" w:hAnsi="Calibri" w:cs="Times New Roman"/>
          <w:noProof/>
          <w:sz w:val="18"/>
          <w:szCs w:val="24"/>
          <w:lang w:val="en-US"/>
        </w:rPr>
        <w:t xml:space="preserve">90. </w:t>
      </w:r>
      <w:r w:rsidRPr="00004609">
        <w:rPr>
          <w:rFonts w:ascii="Calibri" w:hAnsi="Calibri" w:cs="Times New Roman"/>
          <w:noProof/>
          <w:sz w:val="18"/>
          <w:szCs w:val="24"/>
          <w:lang w:val="en-US"/>
        </w:rPr>
        <w:tab/>
        <w:t xml:space="preserve">Morse HC, Leach DR, Rowley MJ, Heller CG. Effect of cyproterone acetate on sperm concentration, seminal fluid </w:t>
      </w:r>
      <w:r w:rsidRPr="00004609">
        <w:rPr>
          <w:rFonts w:ascii="Calibri" w:hAnsi="Calibri" w:cs="Times New Roman"/>
          <w:noProof/>
          <w:sz w:val="18"/>
          <w:szCs w:val="24"/>
          <w:lang w:val="en-US"/>
        </w:rPr>
        <w:lastRenderedPageBreak/>
        <w:t xml:space="preserve">volume, testicular cytology and levels of plasma and urinary ICSH, FSH and testosterone in normal men. </w:t>
      </w:r>
      <w:r w:rsidRPr="002C52CA">
        <w:rPr>
          <w:rFonts w:ascii="Calibri" w:hAnsi="Calibri" w:cs="Times New Roman"/>
          <w:noProof/>
          <w:sz w:val="18"/>
          <w:szCs w:val="24"/>
        </w:rPr>
        <w:t xml:space="preserve">J Reprod Fertil. 1973;32(3):365–78. </w:t>
      </w:r>
    </w:p>
    <w:p w14:paraId="01258297"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2C52CA">
        <w:rPr>
          <w:rFonts w:ascii="Calibri" w:hAnsi="Calibri" w:cs="Times New Roman"/>
          <w:noProof/>
          <w:sz w:val="18"/>
          <w:szCs w:val="24"/>
        </w:rPr>
        <w:t xml:space="preserve">91. </w:t>
      </w:r>
      <w:r w:rsidRPr="002C52CA">
        <w:rPr>
          <w:rFonts w:ascii="Calibri" w:hAnsi="Calibri" w:cs="Times New Roman"/>
          <w:noProof/>
          <w:sz w:val="18"/>
          <w:szCs w:val="24"/>
        </w:rPr>
        <w:tab/>
        <w:t xml:space="preserve">van Kesteren PJ, Asscheman H, Megens J a, Gooren LJ. </w:t>
      </w:r>
      <w:r w:rsidRPr="00004609">
        <w:rPr>
          <w:rFonts w:ascii="Calibri" w:hAnsi="Calibri" w:cs="Times New Roman"/>
          <w:noProof/>
          <w:sz w:val="18"/>
          <w:szCs w:val="24"/>
          <w:lang w:val="en-US"/>
        </w:rPr>
        <w:t xml:space="preserve">Mortality and morbidity in transsexual subjects treated with cross-sex hormones. Clin Endocrinol (Oxf). 1997;47(3):337–42. </w:t>
      </w:r>
    </w:p>
    <w:p w14:paraId="170F99B9"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92. </w:t>
      </w:r>
      <w:r w:rsidRPr="00004609">
        <w:rPr>
          <w:rFonts w:ascii="Calibri" w:hAnsi="Calibri" w:cs="Times New Roman"/>
          <w:noProof/>
          <w:sz w:val="18"/>
          <w:szCs w:val="24"/>
          <w:lang w:val="en-US"/>
        </w:rPr>
        <w:tab/>
        <w:t xml:space="preserve">Bessone F, Lucena MI, Roma MG, Stephens C, Medina-Cáliz I, Frider B, et al. Cyproterone acetate induces a wide spectrum of acute liver damage including corticosteroid-responsive hepatitis: report of 22 cases. Liver Int. 2015;(April 2015):n/a – n/a. </w:t>
      </w:r>
    </w:p>
    <w:p w14:paraId="4C8910E5"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93. </w:t>
      </w:r>
      <w:r w:rsidRPr="00004609">
        <w:rPr>
          <w:rFonts w:ascii="Calibri" w:hAnsi="Calibri" w:cs="Times New Roman"/>
          <w:noProof/>
          <w:sz w:val="18"/>
          <w:szCs w:val="24"/>
          <w:lang w:val="en-US"/>
        </w:rPr>
        <w:tab/>
        <w:t xml:space="preserve">Elbers JMH, Giltay EJ, Teerlink T, Scheffer PG, Asscheman H, Seidell JC, et al. Effects of sex steroids on components of the insulin resistance syndrome in transsexual subjects. Clin Endocrinol (Oxf). 2003;58(5):562–71. </w:t>
      </w:r>
    </w:p>
    <w:p w14:paraId="4159F97F"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94. </w:t>
      </w:r>
      <w:r w:rsidRPr="00004609">
        <w:rPr>
          <w:rFonts w:ascii="Calibri" w:hAnsi="Calibri" w:cs="Times New Roman"/>
          <w:noProof/>
          <w:sz w:val="18"/>
          <w:szCs w:val="24"/>
          <w:lang w:val="en-US"/>
        </w:rPr>
        <w:tab/>
        <w:t xml:space="preserve">Falsetti L, Pasinetti E. Effects of long-term administration of an oral contraceptive containing ethinylestradiol and cyproterone acetate on lipid metabolism in women with polycystic ovary syndrome. Acta Obstet Gynecol Scand. Taylor &amp; Francis; 2009 Aug 3; </w:t>
      </w:r>
    </w:p>
    <w:p w14:paraId="33C54645" w14:textId="77777777" w:rsidR="002C52CA" w:rsidRPr="002C52CA"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rPr>
      </w:pPr>
      <w:r w:rsidRPr="00004609">
        <w:rPr>
          <w:rFonts w:ascii="Calibri" w:hAnsi="Calibri" w:cs="Times New Roman"/>
          <w:noProof/>
          <w:sz w:val="18"/>
          <w:szCs w:val="24"/>
          <w:lang w:val="en-US"/>
        </w:rPr>
        <w:t xml:space="preserve">95. </w:t>
      </w:r>
      <w:r w:rsidRPr="00004609">
        <w:rPr>
          <w:rFonts w:ascii="Calibri" w:hAnsi="Calibri" w:cs="Times New Roman"/>
          <w:noProof/>
          <w:sz w:val="18"/>
          <w:szCs w:val="24"/>
          <w:lang w:val="en-US"/>
        </w:rPr>
        <w:tab/>
        <w:t xml:space="preserve">Wynn V, Godsland IF, Seed M, Jacobs HS. Paradoxical effects of the anti-androgen cyproterone acetate on lipid and lipoprotein metabolism. </w:t>
      </w:r>
      <w:r w:rsidRPr="002C52CA">
        <w:rPr>
          <w:rFonts w:ascii="Calibri" w:hAnsi="Calibri" w:cs="Times New Roman"/>
          <w:noProof/>
          <w:sz w:val="18"/>
          <w:szCs w:val="24"/>
        </w:rPr>
        <w:t xml:space="preserve">Clin Endocrinol (Oxf). 1986 Feb;24(2):183–91. </w:t>
      </w:r>
    </w:p>
    <w:p w14:paraId="32258355"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2C52CA">
        <w:rPr>
          <w:rFonts w:ascii="Calibri" w:hAnsi="Calibri" w:cs="Times New Roman"/>
          <w:noProof/>
          <w:sz w:val="18"/>
          <w:szCs w:val="24"/>
        </w:rPr>
        <w:t xml:space="preserve">96. </w:t>
      </w:r>
      <w:r w:rsidRPr="002C52CA">
        <w:rPr>
          <w:rFonts w:ascii="Calibri" w:hAnsi="Calibri" w:cs="Times New Roman"/>
          <w:noProof/>
          <w:sz w:val="18"/>
          <w:szCs w:val="24"/>
        </w:rPr>
        <w:tab/>
        <w:t xml:space="preserve">Wierckx K, Elaut E, Van Hoorde B, Heylens G, De Cuypere G, Monstrey S, et al. </w:t>
      </w:r>
      <w:r w:rsidRPr="00004609">
        <w:rPr>
          <w:rFonts w:ascii="Calibri" w:hAnsi="Calibri" w:cs="Times New Roman"/>
          <w:noProof/>
          <w:sz w:val="18"/>
          <w:szCs w:val="24"/>
          <w:lang w:val="en-US"/>
        </w:rPr>
        <w:t xml:space="preserve">Sexual desire in trans persons: associations with sex reassignment treatment. J Sex Med. 2014;11(1):107–18. </w:t>
      </w:r>
    </w:p>
    <w:p w14:paraId="642C2B8B"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97. </w:t>
      </w:r>
      <w:r w:rsidRPr="00004609">
        <w:rPr>
          <w:rFonts w:ascii="Calibri" w:hAnsi="Calibri" w:cs="Times New Roman"/>
          <w:noProof/>
          <w:sz w:val="18"/>
          <w:szCs w:val="24"/>
          <w:lang w:val="en-US"/>
        </w:rPr>
        <w:tab/>
        <w:t xml:space="preserve">Gostynski M, Gutzwiller F, Kuulasmaa K, Döring A, Ferrario M, Grafnetter D, et al. Analysis of the relationship between total cholesterol, age, body mass index among males and females in the WHO MONICA Project. Int J Obes Relat Metab Disord. 2004;28(8):1082–90. </w:t>
      </w:r>
    </w:p>
    <w:p w14:paraId="0D8F6145"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98. </w:t>
      </w:r>
      <w:r w:rsidRPr="00004609">
        <w:rPr>
          <w:rFonts w:ascii="Calibri" w:hAnsi="Calibri" w:cs="Times New Roman"/>
          <w:noProof/>
          <w:sz w:val="18"/>
          <w:szCs w:val="24"/>
          <w:lang w:val="en-US"/>
        </w:rPr>
        <w:tab/>
        <w:t xml:space="preserve">Stahnke N, Ilicki A, Willig RP. Effect of Cyproterone Acetate (Ca) on Growth and Endocrine Function in Precocious Puberty. Acta Paediatr. 1979;68(s277):32–40. </w:t>
      </w:r>
    </w:p>
    <w:p w14:paraId="50934B83"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99. </w:t>
      </w:r>
      <w:r w:rsidRPr="00004609">
        <w:rPr>
          <w:rFonts w:ascii="Calibri" w:hAnsi="Calibri" w:cs="Times New Roman"/>
          <w:noProof/>
          <w:sz w:val="18"/>
          <w:szCs w:val="24"/>
          <w:lang w:val="en-US"/>
        </w:rPr>
        <w:tab/>
        <w:t xml:space="preserve">Hague WM, Munro DS, Sawers RS, Duncan SL, Honour JW. Long-term effects of cyproterone acetate on the pituitary adrenal axis in adult women. Br J Obstet Gynaecol. 1982 Dec;89(12):981–4. </w:t>
      </w:r>
    </w:p>
    <w:p w14:paraId="3DC4CA50"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100. </w:t>
      </w:r>
      <w:r w:rsidRPr="00004609">
        <w:rPr>
          <w:rFonts w:ascii="Calibri" w:hAnsi="Calibri" w:cs="Times New Roman"/>
          <w:noProof/>
          <w:sz w:val="18"/>
          <w:szCs w:val="24"/>
          <w:lang w:val="en-US"/>
        </w:rPr>
        <w:tab/>
        <w:t xml:space="preserve">Neri RO, Monahan MD, Meyer JG, Afonso BA, Tabachnick IA. Biological studies on an anti-androgen (SH 714). Eur J Pharmacol. 1967 Sep;1(5):438–44. </w:t>
      </w:r>
    </w:p>
    <w:p w14:paraId="41924437"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101. </w:t>
      </w:r>
      <w:r w:rsidRPr="00004609">
        <w:rPr>
          <w:rFonts w:ascii="Calibri" w:hAnsi="Calibri" w:cs="Times New Roman"/>
          <w:noProof/>
          <w:sz w:val="18"/>
          <w:szCs w:val="24"/>
          <w:lang w:val="en-US"/>
        </w:rPr>
        <w:tab/>
        <w:t xml:space="preserve">Bisschop PH, Toorians AW, Endert E, Wiersinga WM, Gooren LJ, Fliers E. The effects of sex-steroid administration on the pituitary-thyroid axis in transsexuals. Eur J Endocrinol. 2006;155(1):11–6. </w:t>
      </w:r>
    </w:p>
    <w:p w14:paraId="234FD410"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102. </w:t>
      </w:r>
      <w:r w:rsidRPr="00004609">
        <w:rPr>
          <w:rFonts w:ascii="Calibri" w:hAnsi="Calibri" w:cs="Times New Roman"/>
          <w:noProof/>
          <w:sz w:val="18"/>
          <w:szCs w:val="24"/>
          <w:lang w:val="en-US"/>
        </w:rPr>
        <w:tab/>
        <w:t xml:space="preserve">Rost A, Schmidt-Gollwitzer M, Hantelmann W, Brosig W. Cyproterone acetate, testosterone, LH, FSH, and prolactin levels in plasma after intramuscular application of cyproterone acetate in patients with prostatic cancer. Prostate. 1981 Jan;2(3):315–22. </w:t>
      </w:r>
    </w:p>
    <w:p w14:paraId="48873ABC" w14:textId="77777777" w:rsidR="002C52CA" w:rsidRPr="002C52CA"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rPr>
      </w:pPr>
      <w:r w:rsidRPr="00004609">
        <w:rPr>
          <w:rFonts w:ascii="Calibri" w:hAnsi="Calibri" w:cs="Times New Roman"/>
          <w:noProof/>
          <w:sz w:val="18"/>
          <w:szCs w:val="24"/>
          <w:lang w:val="en-US"/>
        </w:rPr>
        <w:t xml:space="preserve">103. </w:t>
      </w:r>
      <w:r w:rsidRPr="00004609">
        <w:rPr>
          <w:rFonts w:ascii="Calibri" w:hAnsi="Calibri" w:cs="Times New Roman"/>
          <w:noProof/>
          <w:sz w:val="18"/>
          <w:szCs w:val="24"/>
          <w:lang w:val="en-US"/>
        </w:rPr>
        <w:tab/>
        <w:t xml:space="preserve">Holub G, Lunglmayr G, Spona J. Effect of cyproterone/acetate (SH-714) on plasma prolactin in patients with prostatic cancer. </w:t>
      </w:r>
      <w:r w:rsidRPr="002C52CA">
        <w:rPr>
          <w:rFonts w:ascii="Calibri" w:hAnsi="Calibri" w:cs="Times New Roman"/>
          <w:noProof/>
          <w:sz w:val="18"/>
          <w:szCs w:val="24"/>
        </w:rPr>
        <w:t xml:space="preserve">Urol Res. 1981 Jan;9(5):245–7. </w:t>
      </w:r>
    </w:p>
    <w:p w14:paraId="06E51EBC"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2C52CA">
        <w:rPr>
          <w:rFonts w:ascii="Calibri" w:hAnsi="Calibri" w:cs="Times New Roman"/>
          <w:noProof/>
          <w:sz w:val="18"/>
          <w:szCs w:val="24"/>
        </w:rPr>
        <w:t xml:space="preserve">104. </w:t>
      </w:r>
      <w:r w:rsidRPr="002C52CA">
        <w:rPr>
          <w:rFonts w:ascii="Calibri" w:hAnsi="Calibri" w:cs="Times New Roman"/>
          <w:noProof/>
          <w:sz w:val="18"/>
          <w:szCs w:val="24"/>
        </w:rPr>
        <w:tab/>
        <w:t xml:space="preserve">Mueller A, Haeberle L, Zollver H, Claassen T, Kronawitter D, Oppelt PG, et al. </w:t>
      </w:r>
      <w:r w:rsidRPr="00004609">
        <w:rPr>
          <w:rFonts w:ascii="Calibri" w:hAnsi="Calibri" w:cs="Times New Roman"/>
          <w:noProof/>
          <w:sz w:val="18"/>
          <w:szCs w:val="24"/>
          <w:lang w:val="en-US"/>
        </w:rPr>
        <w:t xml:space="preserve">Effects of Intramuscular Testosterone Undecanoate on Body Composition and Bone Mineral Density in Female-to-Male Transsexuals. J Sex Med. 2010;7(9):3190–8. </w:t>
      </w:r>
    </w:p>
    <w:p w14:paraId="1ED8BD02" w14:textId="77777777" w:rsidR="002C52CA" w:rsidRPr="002C52CA"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rPr>
      </w:pPr>
      <w:r w:rsidRPr="00004609">
        <w:rPr>
          <w:rFonts w:ascii="Calibri" w:hAnsi="Calibri" w:cs="Times New Roman"/>
          <w:noProof/>
          <w:sz w:val="18"/>
          <w:szCs w:val="24"/>
          <w:lang w:val="en-US"/>
        </w:rPr>
        <w:t xml:space="preserve">105. </w:t>
      </w:r>
      <w:r w:rsidRPr="00004609">
        <w:rPr>
          <w:rFonts w:ascii="Calibri" w:hAnsi="Calibri" w:cs="Times New Roman"/>
          <w:noProof/>
          <w:sz w:val="18"/>
          <w:szCs w:val="24"/>
          <w:lang w:val="en-US"/>
        </w:rPr>
        <w:tab/>
        <w:t xml:space="preserve">Kogure GS, Silva RC, Picchi Ramos FK, Miranda-Furtado CL, Lara LADS, Ferriani RA, et al. Women with polycystic ovary syndrome have greater muscle strength irrespective of body composition. </w:t>
      </w:r>
      <w:r w:rsidRPr="002C52CA">
        <w:rPr>
          <w:rFonts w:ascii="Calibri" w:hAnsi="Calibri" w:cs="Times New Roman"/>
          <w:noProof/>
          <w:sz w:val="18"/>
          <w:szCs w:val="24"/>
        </w:rPr>
        <w:t xml:space="preserve">Gynecol Endocrinol. 2014;3590:1–6. </w:t>
      </w:r>
    </w:p>
    <w:p w14:paraId="7BD7BDBB"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2C52CA">
        <w:rPr>
          <w:rFonts w:ascii="Calibri" w:hAnsi="Calibri" w:cs="Times New Roman"/>
          <w:noProof/>
          <w:sz w:val="18"/>
          <w:szCs w:val="24"/>
        </w:rPr>
        <w:t xml:space="preserve">106. </w:t>
      </w:r>
      <w:r w:rsidRPr="002C52CA">
        <w:rPr>
          <w:rFonts w:ascii="Calibri" w:hAnsi="Calibri" w:cs="Times New Roman"/>
          <w:noProof/>
          <w:sz w:val="18"/>
          <w:szCs w:val="24"/>
        </w:rPr>
        <w:tab/>
        <w:t xml:space="preserve">Lapauw B, Taes Y, Simoens S, Van Caenegem E, Weyers S, Goemaere S, et al. </w:t>
      </w:r>
      <w:r w:rsidRPr="00004609">
        <w:rPr>
          <w:rFonts w:ascii="Calibri" w:hAnsi="Calibri" w:cs="Times New Roman"/>
          <w:noProof/>
          <w:sz w:val="18"/>
          <w:szCs w:val="24"/>
          <w:lang w:val="en-US"/>
        </w:rPr>
        <w:t xml:space="preserve">Body composition, volumetric and areal bone parameters in male-to-female transsexual persons. Bone. Elsevier Inc.; 2008;43(6):1016–21. </w:t>
      </w:r>
    </w:p>
    <w:p w14:paraId="1E969E21" w14:textId="77777777" w:rsidR="002C52CA" w:rsidRPr="002C52CA"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rPr>
      </w:pPr>
      <w:r w:rsidRPr="00004609">
        <w:rPr>
          <w:rFonts w:ascii="Calibri" w:hAnsi="Calibri" w:cs="Times New Roman"/>
          <w:noProof/>
          <w:sz w:val="18"/>
          <w:szCs w:val="24"/>
          <w:lang w:val="en-US"/>
        </w:rPr>
        <w:t xml:space="preserve">107. </w:t>
      </w:r>
      <w:r w:rsidRPr="00004609">
        <w:rPr>
          <w:rFonts w:ascii="Calibri" w:hAnsi="Calibri" w:cs="Times New Roman"/>
          <w:noProof/>
          <w:sz w:val="18"/>
          <w:szCs w:val="24"/>
          <w:lang w:val="en-US"/>
        </w:rPr>
        <w:tab/>
        <w:t xml:space="preserve">Choi SM, Kam SC. Metabolic effects of androgen deprivation therapy. </w:t>
      </w:r>
      <w:r w:rsidRPr="002C52CA">
        <w:rPr>
          <w:rFonts w:ascii="Calibri" w:hAnsi="Calibri" w:cs="Times New Roman"/>
          <w:noProof/>
          <w:sz w:val="18"/>
          <w:szCs w:val="24"/>
        </w:rPr>
        <w:t xml:space="preserve">Korean J Urol. 2015;56(1):12–8. </w:t>
      </w:r>
    </w:p>
    <w:p w14:paraId="133D20BF"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2C52CA">
        <w:rPr>
          <w:rFonts w:ascii="Calibri" w:hAnsi="Calibri" w:cs="Times New Roman"/>
          <w:noProof/>
          <w:sz w:val="18"/>
          <w:szCs w:val="24"/>
        </w:rPr>
        <w:t xml:space="preserve">108. </w:t>
      </w:r>
      <w:r w:rsidRPr="002C52CA">
        <w:rPr>
          <w:rFonts w:ascii="Calibri" w:hAnsi="Calibri" w:cs="Times New Roman"/>
          <w:noProof/>
          <w:sz w:val="18"/>
          <w:szCs w:val="24"/>
        </w:rPr>
        <w:tab/>
        <w:t xml:space="preserve">Fredriks AM, van Buuren S, Fekkes M, Verloove-Vanhorick SP, Wit JM. </w:t>
      </w:r>
      <w:r w:rsidRPr="00004609">
        <w:rPr>
          <w:rFonts w:ascii="Calibri" w:hAnsi="Calibri" w:cs="Times New Roman"/>
          <w:noProof/>
          <w:sz w:val="18"/>
          <w:szCs w:val="24"/>
          <w:lang w:val="en-US"/>
        </w:rPr>
        <w:t xml:space="preserve">Are age references for waist circumference, hip circumference and waist-hip ratio in Dutch children useful in clinical practice? Eur J Pediatr. 2005 Apr;164(4):216–22. </w:t>
      </w:r>
    </w:p>
    <w:p w14:paraId="2B1E012D"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109. </w:t>
      </w:r>
      <w:r w:rsidRPr="00004609">
        <w:rPr>
          <w:rFonts w:ascii="Calibri" w:hAnsi="Calibri" w:cs="Times New Roman"/>
          <w:noProof/>
          <w:sz w:val="18"/>
          <w:szCs w:val="24"/>
          <w:lang w:val="en-US"/>
        </w:rPr>
        <w:tab/>
        <w:t xml:space="preserve">Bayer M. Reference values of osteocalcin and procollagen type I N-propeptide plasma levels in a healthy Central European population aged 0-18 years. Osteoporos Int. 2014;25(2):729–36. </w:t>
      </w:r>
    </w:p>
    <w:p w14:paraId="391FE142"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110. </w:t>
      </w:r>
      <w:r w:rsidRPr="00004609">
        <w:rPr>
          <w:rFonts w:ascii="Calibri" w:hAnsi="Calibri" w:cs="Times New Roman"/>
          <w:noProof/>
          <w:sz w:val="18"/>
          <w:szCs w:val="24"/>
          <w:lang w:val="en-US"/>
        </w:rPr>
        <w:tab/>
        <w:t xml:space="preserve">Rauchenzauner M, Schmid A, Heinz-Erian P, Kapelari K, Falkensammer G, Griesmacher A, et al. Sex- and age-specific reference curves for serum markers of bone turnover in healthy children from 2 months to 18 years. J Clin Endocrinol Metab. 2007;92(2):443–9. </w:t>
      </w:r>
    </w:p>
    <w:p w14:paraId="17116683"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111. </w:t>
      </w:r>
      <w:r w:rsidRPr="00004609">
        <w:rPr>
          <w:rFonts w:ascii="Calibri" w:hAnsi="Calibri" w:cs="Times New Roman"/>
          <w:noProof/>
          <w:sz w:val="18"/>
          <w:szCs w:val="24"/>
          <w:lang w:val="en-US"/>
        </w:rPr>
        <w:tab/>
        <w:t xml:space="preserve">Paiva LC, Pinto-Neto AM, Faundes A. Bone density among long-term users of medroxyprogesterone acetate as a contraceptive. Contraception. 1998;58(6):351–5. </w:t>
      </w:r>
    </w:p>
    <w:p w14:paraId="119678A6"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112. </w:t>
      </w:r>
      <w:r w:rsidRPr="00004609">
        <w:rPr>
          <w:rFonts w:ascii="Calibri" w:hAnsi="Calibri" w:cs="Times New Roman"/>
          <w:noProof/>
          <w:sz w:val="18"/>
          <w:szCs w:val="24"/>
          <w:lang w:val="en-US"/>
        </w:rPr>
        <w:tab/>
        <w:t xml:space="preserve">Rosenberg L, Zhang Y, Constant D, Cooper D, Kalla AA, Micklesfield L, et al. Bone status after cessation of use of injectable progestin contraceptives. Contraception. 2007;76(6):425–31. </w:t>
      </w:r>
    </w:p>
    <w:p w14:paraId="549F2F9A"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113. </w:t>
      </w:r>
      <w:r w:rsidRPr="00004609">
        <w:rPr>
          <w:rFonts w:ascii="Calibri" w:hAnsi="Calibri" w:cs="Times New Roman"/>
          <w:noProof/>
          <w:sz w:val="18"/>
          <w:szCs w:val="24"/>
          <w:lang w:val="en-US"/>
        </w:rPr>
        <w:tab/>
        <w:t xml:space="preserve">Costa ML, Cecatti JG, Krupa FG, Rehder PM, Sousa MH, Costa-Paiva L. Progestin-only contraception prevents bone loss in postpartum breastfeeding women. Contraception. Elsevier Inc.; 2012;85(4):374–80. </w:t>
      </w:r>
    </w:p>
    <w:p w14:paraId="79F202BB"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114. </w:t>
      </w:r>
      <w:r w:rsidRPr="00004609">
        <w:rPr>
          <w:rFonts w:ascii="Calibri" w:hAnsi="Calibri" w:cs="Times New Roman"/>
          <w:noProof/>
          <w:sz w:val="18"/>
          <w:szCs w:val="24"/>
          <w:lang w:val="en-US"/>
        </w:rPr>
        <w:tab/>
        <w:t xml:space="preserve">Curtis KM, Martins SL. Progestogen-only contraception and bone mineral density: a systematic review. Contraception. 2006;73(5):470–87. </w:t>
      </w:r>
    </w:p>
    <w:p w14:paraId="545FAD54"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004609">
        <w:rPr>
          <w:rFonts w:ascii="Calibri" w:hAnsi="Calibri" w:cs="Times New Roman"/>
          <w:noProof/>
          <w:sz w:val="18"/>
          <w:szCs w:val="24"/>
          <w:lang w:val="en-US"/>
        </w:rPr>
        <w:t xml:space="preserve">115. </w:t>
      </w:r>
      <w:r w:rsidRPr="00004609">
        <w:rPr>
          <w:rFonts w:ascii="Calibri" w:hAnsi="Calibri" w:cs="Times New Roman"/>
          <w:noProof/>
          <w:sz w:val="18"/>
          <w:szCs w:val="24"/>
          <w:lang w:val="en-US"/>
        </w:rPr>
        <w:tab/>
        <w:t xml:space="preserve">Vanderschueren D, Vandenput L, Boonen S, Lindberg MK, Bouillon R, Ohlsson C. Androgens and bone. Endocr Rev. 2004 Jun;25(3):389–425. </w:t>
      </w:r>
    </w:p>
    <w:p w14:paraId="758950D8" w14:textId="77777777" w:rsidR="002C52CA" w:rsidRPr="002C52CA"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rPr>
      </w:pPr>
      <w:r w:rsidRPr="00004609">
        <w:rPr>
          <w:rFonts w:ascii="Calibri" w:hAnsi="Calibri" w:cs="Times New Roman"/>
          <w:noProof/>
          <w:sz w:val="18"/>
          <w:szCs w:val="24"/>
          <w:lang w:val="en-US"/>
        </w:rPr>
        <w:t xml:space="preserve">116. </w:t>
      </w:r>
      <w:r w:rsidRPr="00004609">
        <w:rPr>
          <w:rFonts w:ascii="Calibri" w:hAnsi="Calibri" w:cs="Times New Roman"/>
          <w:noProof/>
          <w:sz w:val="18"/>
          <w:szCs w:val="24"/>
          <w:lang w:val="en-US"/>
        </w:rPr>
        <w:tab/>
        <w:t xml:space="preserve">Bouillon R, Bex M, Vanderschueren D, Boonen S. Estrogens are essential for male pubertal periosteal bone expansion. </w:t>
      </w:r>
      <w:r w:rsidRPr="002C52CA">
        <w:rPr>
          <w:rFonts w:ascii="Calibri" w:hAnsi="Calibri" w:cs="Times New Roman"/>
          <w:noProof/>
          <w:sz w:val="18"/>
          <w:szCs w:val="24"/>
        </w:rPr>
        <w:t xml:space="preserve">J Clin Endocrinol Metab. 2004;89(12):6025–9. </w:t>
      </w:r>
    </w:p>
    <w:p w14:paraId="2FEF6CCD" w14:textId="77777777" w:rsidR="002C52CA" w:rsidRPr="00004609"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lang w:val="en-US"/>
        </w:rPr>
      </w:pPr>
      <w:r w:rsidRPr="002C52CA">
        <w:rPr>
          <w:rFonts w:ascii="Calibri" w:hAnsi="Calibri" w:cs="Times New Roman"/>
          <w:noProof/>
          <w:sz w:val="18"/>
          <w:szCs w:val="24"/>
        </w:rPr>
        <w:t xml:space="preserve">117. </w:t>
      </w:r>
      <w:r w:rsidRPr="002C52CA">
        <w:rPr>
          <w:rFonts w:ascii="Calibri" w:hAnsi="Calibri" w:cs="Times New Roman"/>
          <w:noProof/>
          <w:sz w:val="18"/>
          <w:szCs w:val="24"/>
        </w:rPr>
        <w:tab/>
        <w:t xml:space="preserve">Taes Y, Lapauw B, Vandewalle S, Zmierczak H, Goemaere S, Vanderschueren D, et al. </w:t>
      </w:r>
      <w:r w:rsidRPr="00004609">
        <w:rPr>
          <w:rFonts w:ascii="Calibri" w:hAnsi="Calibri" w:cs="Times New Roman"/>
          <w:noProof/>
          <w:sz w:val="18"/>
          <w:szCs w:val="24"/>
          <w:lang w:val="en-US"/>
        </w:rPr>
        <w:t xml:space="preserve">Estrogen-specific action on bone geometry and volumetric bone density: Longitudinal observations in an adult with complete androgen </w:t>
      </w:r>
      <w:r w:rsidRPr="00004609">
        <w:rPr>
          <w:rFonts w:ascii="Calibri" w:hAnsi="Calibri" w:cs="Times New Roman"/>
          <w:noProof/>
          <w:sz w:val="18"/>
          <w:szCs w:val="24"/>
          <w:lang w:val="en-US"/>
        </w:rPr>
        <w:lastRenderedPageBreak/>
        <w:t xml:space="preserve">insensitivity. Bone. Elsevier Inc.; 2009;45(2):392–7. </w:t>
      </w:r>
    </w:p>
    <w:p w14:paraId="0F2DB18B" w14:textId="77777777" w:rsidR="002C52CA" w:rsidRPr="002C52CA" w:rsidRDefault="002C52CA" w:rsidP="002C52CA">
      <w:pPr>
        <w:widowControl w:val="0"/>
        <w:autoSpaceDE w:val="0"/>
        <w:autoSpaceDN w:val="0"/>
        <w:adjustRightInd w:val="0"/>
        <w:spacing w:after="0" w:line="240" w:lineRule="auto"/>
        <w:ind w:left="640" w:hanging="640"/>
        <w:rPr>
          <w:rFonts w:ascii="Calibri" w:hAnsi="Calibri" w:cs="Times New Roman"/>
          <w:noProof/>
          <w:sz w:val="18"/>
          <w:szCs w:val="24"/>
        </w:rPr>
      </w:pPr>
      <w:r w:rsidRPr="00004609">
        <w:rPr>
          <w:rFonts w:ascii="Calibri" w:hAnsi="Calibri" w:cs="Times New Roman"/>
          <w:noProof/>
          <w:sz w:val="18"/>
          <w:szCs w:val="24"/>
          <w:lang w:val="en-US"/>
        </w:rPr>
        <w:t xml:space="preserve">118. </w:t>
      </w:r>
      <w:r w:rsidRPr="00004609">
        <w:rPr>
          <w:rFonts w:ascii="Calibri" w:hAnsi="Calibri" w:cs="Times New Roman"/>
          <w:noProof/>
          <w:sz w:val="18"/>
          <w:szCs w:val="24"/>
          <w:lang w:val="en-US"/>
        </w:rPr>
        <w:tab/>
        <w:t xml:space="preserve">Lorentzon M, Swanson C, Andersson N, Mellström D, Ohlsson C. Free testosterone is a positive, whereas free estradiol is a negative, predictor of cortical bone size in young Swedish men: The GOOD study. </w:t>
      </w:r>
      <w:r w:rsidRPr="002C52CA">
        <w:rPr>
          <w:rFonts w:ascii="Calibri" w:hAnsi="Calibri" w:cs="Times New Roman"/>
          <w:noProof/>
          <w:sz w:val="18"/>
          <w:szCs w:val="24"/>
        </w:rPr>
        <w:t xml:space="preserve">J Bone Miner Res. 2005;20(8):1334–41. </w:t>
      </w:r>
    </w:p>
    <w:p w14:paraId="6700D665" w14:textId="77777777" w:rsidR="002C52CA" w:rsidRPr="002C52CA" w:rsidRDefault="002C52CA" w:rsidP="002C52CA">
      <w:pPr>
        <w:widowControl w:val="0"/>
        <w:autoSpaceDE w:val="0"/>
        <w:autoSpaceDN w:val="0"/>
        <w:adjustRightInd w:val="0"/>
        <w:spacing w:after="0" w:line="240" w:lineRule="auto"/>
        <w:ind w:left="640" w:hanging="640"/>
        <w:rPr>
          <w:rFonts w:ascii="Calibri" w:hAnsi="Calibri"/>
          <w:noProof/>
          <w:sz w:val="18"/>
        </w:rPr>
      </w:pPr>
      <w:r w:rsidRPr="002C52CA">
        <w:rPr>
          <w:rFonts w:ascii="Calibri" w:hAnsi="Calibri" w:cs="Times New Roman"/>
          <w:noProof/>
          <w:sz w:val="18"/>
          <w:szCs w:val="24"/>
        </w:rPr>
        <w:t xml:space="preserve">119. </w:t>
      </w:r>
      <w:r w:rsidRPr="002C52CA">
        <w:rPr>
          <w:rFonts w:ascii="Calibri" w:hAnsi="Calibri" w:cs="Times New Roman"/>
          <w:noProof/>
          <w:sz w:val="18"/>
          <w:szCs w:val="24"/>
        </w:rPr>
        <w:tab/>
        <w:t xml:space="preserve">Lapauw BM, Taes Y, Bogaert V, Vanbillemont G, Goemaere S, Zmierczak H-G, et al. </w:t>
      </w:r>
      <w:r w:rsidRPr="00004609">
        <w:rPr>
          <w:rFonts w:ascii="Calibri" w:hAnsi="Calibri" w:cs="Times New Roman"/>
          <w:noProof/>
          <w:sz w:val="18"/>
          <w:szCs w:val="24"/>
          <w:lang w:val="en-US"/>
        </w:rPr>
        <w:t xml:space="preserve">Serum estradiol is associated with volumetric BMD and modulates the impact of physical activity on bone size at the age of peak bone mass: a study in healthy male siblings. </w:t>
      </w:r>
      <w:r w:rsidRPr="002C52CA">
        <w:rPr>
          <w:rFonts w:ascii="Calibri" w:hAnsi="Calibri" w:cs="Times New Roman"/>
          <w:noProof/>
          <w:sz w:val="18"/>
          <w:szCs w:val="24"/>
        </w:rPr>
        <w:t xml:space="preserve">J Bone Miner Res. 2009;24(6):1075–85. </w:t>
      </w:r>
    </w:p>
    <w:p w14:paraId="14271132" w14:textId="64A4723E" w:rsidR="004124CD" w:rsidRPr="004124CD" w:rsidRDefault="007A3EDC" w:rsidP="00E16652">
      <w:pPr>
        <w:widowControl w:val="0"/>
        <w:autoSpaceDE w:val="0"/>
        <w:autoSpaceDN w:val="0"/>
        <w:adjustRightInd w:val="0"/>
        <w:spacing w:after="0" w:line="240" w:lineRule="auto"/>
        <w:ind w:left="640" w:hanging="640"/>
        <w:rPr>
          <w:lang w:val="en-GB"/>
        </w:rPr>
      </w:pPr>
      <w:r w:rsidRPr="00C83C07">
        <w:rPr>
          <w:sz w:val="18"/>
          <w:szCs w:val="18"/>
          <w:lang w:val="en-GB"/>
        </w:rPr>
        <w:fldChar w:fldCharType="end"/>
      </w:r>
    </w:p>
    <w:sectPr w:rsidR="004124CD" w:rsidRPr="004124CD" w:rsidSect="00E166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A2955D" w14:textId="77777777" w:rsidR="00892229" w:rsidRDefault="00892229" w:rsidP="007B1580">
      <w:pPr>
        <w:spacing w:after="0" w:line="240" w:lineRule="auto"/>
      </w:pPr>
      <w:r>
        <w:separator/>
      </w:r>
    </w:p>
  </w:endnote>
  <w:endnote w:type="continuationSeparator" w:id="0">
    <w:p w14:paraId="04D993C0" w14:textId="77777777" w:rsidR="00892229" w:rsidRDefault="00892229" w:rsidP="007B1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6436307"/>
      <w:docPartObj>
        <w:docPartGallery w:val="Page Numbers (Bottom of Page)"/>
        <w:docPartUnique/>
      </w:docPartObj>
    </w:sdtPr>
    <w:sdtEndPr/>
    <w:sdtContent>
      <w:p w14:paraId="2FFD8F83" w14:textId="08DB4038" w:rsidR="00CB6131" w:rsidRDefault="00CB6131">
        <w:pPr>
          <w:pStyle w:val="Voettekst"/>
        </w:pPr>
        <w:r>
          <w:rPr>
            <w:noProof/>
          </w:rPr>
          <mc:AlternateContent>
            <mc:Choice Requires="wpg">
              <w:drawing>
                <wp:anchor distT="0" distB="0" distL="114300" distR="114300" simplePos="0" relativeHeight="251657216" behindDoc="0" locked="0" layoutInCell="1" allowOverlap="1" wp14:anchorId="5C4A2DEF" wp14:editId="77771AB0">
                  <wp:simplePos x="0" y="0"/>
                  <wp:positionH relativeFrom="page">
                    <wp:align>center</wp:align>
                  </wp:positionH>
                  <wp:positionV relativeFrom="bottomMargin">
                    <wp:align>center</wp:align>
                  </wp:positionV>
                  <wp:extent cx="7753350" cy="190500"/>
                  <wp:effectExtent l="9525" t="9525" r="9525" b="0"/>
                  <wp:wrapNone/>
                  <wp:docPr id="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7"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103F7" w14:textId="3B480716" w:rsidR="00CB6131" w:rsidRDefault="00CB6131">
                                <w:pPr>
                                  <w:jc w:val="center"/>
                                </w:pPr>
                                <w:r>
                                  <w:fldChar w:fldCharType="begin"/>
                                </w:r>
                                <w:r>
                                  <w:instrText>PAGE    \* MERGEFORMAT</w:instrText>
                                </w:r>
                                <w:r>
                                  <w:fldChar w:fldCharType="separate"/>
                                </w:r>
                                <w:r w:rsidR="00BC2743" w:rsidRPr="00BC2743">
                                  <w:rPr>
                                    <w:noProof/>
                                    <w:color w:val="8C8C8C" w:themeColor="background1" w:themeShade="8C"/>
                                  </w:rPr>
                                  <w:t>17</w:t>
                                </w:r>
                                <w:r>
                                  <w:rPr>
                                    <w:color w:val="8C8C8C" w:themeColor="background1" w:themeShade="8C"/>
                                  </w:rPr>
                                  <w:fldChar w:fldCharType="end"/>
                                </w:r>
                              </w:p>
                            </w:txbxContent>
                          </wps:txbx>
                          <wps:bodyPr rot="0" vert="horz" wrap="square" lIns="0" tIns="0" rIns="0" bIns="0" anchor="t" anchorCtr="0" upright="1">
                            <a:noAutofit/>
                          </wps:bodyPr>
                        </wps:wsp>
                        <wpg:grpSp>
                          <wpg:cNvPr id="8" name="Group 31"/>
                          <wpg:cNvGrpSpPr>
                            <a:grpSpLocks/>
                          </wpg:cNvGrpSpPr>
                          <wpg:grpSpPr bwMode="auto">
                            <a:xfrm flipH="1">
                              <a:off x="0" y="14970"/>
                              <a:ext cx="12255" cy="230"/>
                              <a:chOff x="-8" y="14978"/>
                              <a:chExt cx="12255" cy="230"/>
                            </a:xfrm>
                          </wpg:grpSpPr>
                          <wps:wsp>
                            <wps:cNvPr id="9"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0"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5C4A2DEF" id="Group 33" o:spid="_x0000_s1026" style="position:absolute;margin-left:0;margin-top:0;width:610.5pt;height:15pt;z-index:25165721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24D103F7" w14:textId="3B480716" w:rsidR="00CB6131" w:rsidRDefault="00CB6131">
                          <w:pPr>
                            <w:jc w:val="center"/>
                          </w:pPr>
                          <w:r>
                            <w:fldChar w:fldCharType="begin"/>
                          </w:r>
                          <w:r>
                            <w:instrText>PAGE    \* MERGEFORMAT</w:instrText>
                          </w:r>
                          <w:r>
                            <w:fldChar w:fldCharType="separate"/>
                          </w:r>
                          <w:r w:rsidR="00BC2743" w:rsidRPr="00BC2743">
                            <w:rPr>
                              <w:noProof/>
                              <w:color w:val="8C8C8C" w:themeColor="background1" w:themeShade="8C"/>
                            </w:rPr>
                            <w:t>17</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1BB715" w14:textId="77777777" w:rsidR="00892229" w:rsidRDefault="00892229" w:rsidP="007B1580">
      <w:pPr>
        <w:spacing w:after="0" w:line="240" w:lineRule="auto"/>
      </w:pPr>
      <w:r>
        <w:separator/>
      </w:r>
    </w:p>
  </w:footnote>
  <w:footnote w:type="continuationSeparator" w:id="0">
    <w:p w14:paraId="6A4A7A6C" w14:textId="77777777" w:rsidR="00892229" w:rsidRDefault="00892229" w:rsidP="007B15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F868D" w14:textId="77777777" w:rsidR="00CB6131" w:rsidRDefault="00892229" w:rsidP="008E2272">
    <w:pPr>
      <w:pStyle w:val="Koptekst"/>
      <w:spacing w:line="240" w:lineRule="exact"/>
    </w:pPr>
    <w:r>
      <w:rPr>
        <w:noProof/>
        <w:lang w:val="en-US"/>
      </w:rPr>
      <w:object w:dxaOrig="1440" w:dyaOrig="1440" w14:anchorId="3C828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4.9pt;width:597pt;height:114pt;z-index:-251658240;visibility:visible;mso-wrap-edited:f;mso-position-horizontal-relative:page;mso-position-vertical-relative:page" wrapcoords="-27 0 -27 21458 21600 21458 21600 0 -27 0">
          <v:imagedata r:id="rId1" o:title=""/>
          <w10:wrap anchorx="page" anchory="page"/>
          <w10:anchorlock/>
        </v:shape>
        <o:OLEObject Type="Embed" ProgID="Word.Picture.8" ShapeID="_x0000_s2051" DrawAspect="Content" ObjectID="_1525774970" r:id="rId2"/>
      </w:object>
    </w:r>
  </w:p>
  <w:p w14:paraId="43F9A577" w14:textId="77777777" w:rsidR="00CB6131" w:rsidRPr="005E03F2" w:rsidRDefault="00CB6131" w:rsidP="008E2272">
    <w:pPr>
      <w:pStyle w:val="Koptekst"/>
      <w:spacing w:line="240" w:lineRule="exact"/>
      <w:jc w:val="right"/>
      <w:rPr>
        <w:b/>
        <w:caps/>
        <w:lang w:val="en-US"/>
      </w:rPr>
    </w:pPr>
    <w:r w:rsidRPr="005E03F2">
      <w:rPr>
        <w:b/>
        <w:caps/>
        <w:lang w:val="en-US"/>
      </w:rPr>
      <w:t>Faculty of Medicine and</w:t>
    </w:r>
  </w:p>
  <w:p w14:paraId="5B4DA2B1" w14:textId="77777777" w:rsidR="00CB6131" w:rsidRPr="005E03F2" w:rsidRDefault="00CB6131" w:rsidP="008E2272">
    <w:pPr>
      <w:pStyle w:val="Koptekst"/>
      <w:spacing w:line="240" w:lineRule="exact"/>
      <w:jc w:val="right"/>
      <w:rPr>
        <w:b/>
        <w:caps/>
        <w:lang w:val="en-US"/>
      </w:rPr>
    </w:pPr>
    <w:r w:rsidRPr="005E03F2">
      <w:rPr>
        <w:b/>
        <w:caps/>
        <w:lang w:val="en-US"/>
      </w:rPr>
      <w:t>Health Sciences</w:t>
    </w:r>
  </w:p>
  <w:p w14:paraId="4C673FAF" w14:textId="77777777" w:rsidR="00CB6131" w:rsidRPr="005E03F2" w:rsidRDefault="00CB6131" w:rsidP="008E2272">
    <w:pPr>
      <w:pStyle w:val="Koptekst"/>
      <w:rPr>
        <w:lang w:val="en-US"/>
      </w:rPr>
    </w:pPr>
  </w:p>
  <w:p w14:paraId="3002FF2E" w14:textId="77777777" w:rsidR="00CB6131" w:rsidRPr="005E03F2" w:rsidRDefault="00CB6131" w:rsidP="008E2272">
    <w:pPr>
      <w:pStyle w:val="Koptekst"/>
      <w:rPr>
        <w:lang w:val="en-US"/>
      </w:rPr>
    </w:pPr>
  </w:p>
  <w:p w14:paraId="1BF85BF7" w14:textId="77777777" w:rsidR="00CB6131" w:rsidRPr="008E2272" w:rsidRDefault="00CB6131">
    <w:pPr>
      <w:pStyle w:val="Kopteks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11A9E" w14:textId="77777777" w:rsidR="00CB6131" w:rsidRPr="005E03F2" w:rsidRDefault="00CB6131" w:rsidP="008E2272">
    <w:pPr>
      <w:pStyle w:val="Koptekst"/>
      <w:rPr>
        <w:lang w:val="en-US"/>
      </w:rPr>
    </w:pPr>
  </w:p>
  <w:p w14:paraId="1736FE56" w14:textId="77777777" w:rsidR="00CB6131" w:rsidRPr="008E2272" w:rsidRDefault="00CB6131">
    <w:pPr>
      <w:pStyle w:val="Kopteks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201C9"/>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33E5733"/>
    <w:multiLevelType w:val="hybridMultilevel"/>
    <w:tmpl w:val="F314CA0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9242E64"/>
    <w:multiLevelType w:val="multilevel"/>
    <w:tmpl w:val="0AAE37DC"/>
    <w:lvl w:ilvl="0">
      <w:start w:val="1"/>
      <w:numFmt w:val="upperRoman"/>
      <w:pStyle w:val="Kop1"/>
      <w:lvlText w:val="%1."/>
      <w:lvlJc w:val="left"/>
      <w:pPr>
        <w:ind w:left="0" w:firstLine="0"/>
      </w:pPr>
    </w:lvl>
    <w:lvl w:ilvl="1">
      <w:start w:val="1"/>
      <w:numFmt w:val="decimal"/>
      <w:pStyle w:val="Kop2"/>
      <w:lvlText w:val="%2."/>
      <w:lvlJc w:val="left"/>
      <w:pPr>
        <w:ind w:left="72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Kop3"/>
      <w:lvlText w:val="%3)"/>
      <w:lvlJc w:val="left"/>
      <w:pPr>
        <w:ind w:left="1440" w:firstLine="0"/>
      </w:pPr>
    </w:lvl>
    <w:lvl w:ilvl="3">
      <w:start w:val="1"/>
      <w:numFmt w:val="decimal"/>
      <w:pStyle w:val="Kop4"/>
      <w:lvlText w:val="%4."/>
      <w:lvlJc w:val="left"/>
      <w:pPr>
        <w:ind w:left="2160" w:firstLine="0"/>
      </w:pPr>
    </w:lvl>
    <w:lvl w:ilvl="4">
      <w:start w:val="1"/>
      <w:numFmt w:val="decimal"/>
      <w:pStyle w:val="Kop5"/>
      <w:lvlText w:val="(%5)"/>
      <w:lvlJc w:val="left"/>
      <w:pPr>
        <w:ind w:left="2880" w:firstLine="0"/>
      </w:pPr>
    </w:lvl>
    <w:lvl w:ilvl="5">
      <w:start w:val="1"/>
      <w:numFmt w:val="lowerLetter"/>
      <w:pStyle w:val="Kop6"/>
      <w:lvlText w:val="(%6)"/>
      <w:lvlJc w:val="left"/>
      <w:pPr>
        <w:ind w:left="3600" w:firstLine="0"/>
      </w:pPr>
    </w:lvl>
    <w:lvl w:ilvl="6">
      <w:start w:val="1"/>
      <w:numFmt w:val="lowerRoman"/>
      <w:pStyle w:val="Kop7"/>
      <w:lvlText w:val="(%7)"/>
      <w:lvlJc w:val="left"/>
      <w:pPr>
        <w:ind w:left="4320" w:firstLine="0"/>
      </w:pPr>
    </w:lvl>
    <w:lvl w:ilvl="7">
      <w:start w:val="1"/>
      <w:numFmt w:val="lowerLetter"/>
      <w:pStyle w:val="Kop8"/>
      <w:lvlText w:val="(%8)"/>
      <w:lvlJc w:val="left"/>
      <w:pPr>
        <w:ind w:left="5040" w:firstLine="0"/>
      </w:pPr>
    </w:lvl>
    <w:lvl w:ilvl="8">
      <w:start w:val="1"/>
      <w:numFmt w:val="lowerRoman"/>
      <w:pStyle w:val="Kop9"/>
      <w:lvlText w:val="(%9)"/>
      <w:lvlJc w:val="left"/>
      <w:pPr>
        <w:ind w:left="5760" w:firstLine="0"/>
      </w:pPr>
    </w:lvl>
  </w:abstractNum>
  <w:abstractNum w:abstractNumId="3" w15:restartNumberingAfterBreak="0">
    <w:nsid w:val="54A20D12"/>
    <w:multiLevelType w:val="hybridMultilevel"/>
    <w:tmpl w:val="C10C8E7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640E3389"/>
    <w:multiLevelType w:val="hybridMultilevel"/>
    <w:tmpl w:val="901CEB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7AA02212"/>
    <w:multiLevelType w:val="hybridMultilevel"/>
    <w:tmpl w:val="6540E0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3"/>
  </w:num>
  <w:num w:numId="5">
    <w:abstractNumId w:val="1"/>
  </w:num>
  <w:num w:numId="6">
    <w:abstractNumId w:val="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activeWritingStyle w:appName="MSWord" w:lang="nl-NL" w:vendorID="64" w:dllVersion="131078" w:nlCheck="1" w:checkStyle="0"/>
  <w:activeWritingStyle w:appName="MSWord" w:lang="fr-BE" w:vendorID="64" w:dllVersion="131078" w:nlCheck="1" w:checkStyle="0"/>
  <w:activeWritingStyle w:appName="MSWord" w:lang="nl-BE" w:vendorID="64" w:dllVersion="131078" w:nlCheck="1" w:checkStyle="0"/>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E48"/>
    <w:rsid w:val="00000526"/>
    <w:rsid w:val="00004609"/>
    <w:rsid w:val="00005DC0"/>
    <w:rsid w:val="00006A98"/>
    <w:rsid w:val="00006C1B"/>
    <w:rsid w:val="000073CF"/>
    <w:rsid w:val="000134B6"/>
    <w:rsid w:val="000146E7"/>
    <w:rsid w:val="00017EBC"/>
    <w:rsid w:val="000214ED"/>
    <w:rsid w:val="000219E4"/>
    <w:rsid w:val="00025A3C"/>
    <w:rsid w:val="0002731B"/>
    <w:rsid w:val="0002782B"/>
    <w:rsid w:val="00035D1C"/>
    <w:rsid w:val="0003613C"/>
    <w:rsid w:val="00037039"/>
    <w:rsid w:val="00040140"/>
    <w:rsid w:val="00043962"/>
    <w:rsid w:val="00045D44"/>
    <w:rsid w:val="000462E6"/>
    <w:rsid w:val="0004654F"/>
    <w:rsid w:val="00046990"/>
    <w:rsid w:val="00050E9C"/>
    <w:rsid w:val="00051567"/>
    <w:rsid w:val="00051BD4"/>
    <w:rsid w:val="000525F1"/>
    <w:rsid w:val="000526E6"/>
    <w:rsid w:val="0005383F"/>
    <w:rsid w:val="00053B06"/>
    <w:rsid w:val="00054A03"/>
    <w:rsid w:val="00060401"/>
    <w:rsid w:val="00060E8C"/>
    <w:rsid w:val="000628B5"/>
    <w:rsid w:val="000631A1"/>
    <w:rsid w:val="00064F11"/>
    <w:rsid w:val="00066A08"/>
    <w:rsid w:val="00071244"/>
    <w:rsid w:val="00071A19"/>
    <w:rsid w:val="00073260"/>
    <w:rsid w:val="00074F02"/>
    <w:rsid w:val="00075C22"/>
    <w:rsid w:val="00080958"/>
    <w:rsid w:val="00081FE3"/>
    <w:rsid w:val="00082BF9"/>
    <w:rsid w:val="00084208"/>
    <w:rsid w:val="000904B3"/>
    <w:rsid w:val="00095847"/>
    <w:rsid w:val="00096960"/>
    <w:rsid w:val="00097096"/>
    <w:rsid w:val="000A1A6E"/>
    <w:rsid w:val="000A2B73"/>
    <w:rsid w:val="000B18D0"/>
    <w:rsid w:val="000B277A"/>
    <w:rsid w:val="000B4142"/>
    <w:rsid w:val="000B48EC"/>
    <w:rsid w:val="000B55C0"/>
    <w:rsid w:val="000B5D04"/>
    <w:rsid w:val="000B6D66"/>
    <w:rsid w:val="000B7510"/>
    <w:rsid w:val="000C0007"/>
    <w:rsid w:val="000C0CEB"/>
    <w:rsid w:val="000C1335"/>
    <w:rsid w:val="000C2E99"/>
    <w:rsid w:val="000C455D"/>
    <w:rsid w:val="000D1402"/>
    <w:rsid w:val="000D2941"/>
    <w:rsid w:val="000D502C"/>
    <w:rsid w:val="000D6611"/>
    <w:rsid w:val="000E04DD"/>
    <w:rsid w:val="000E0564"/>
    <w:rsid w:val="000E06A9"/>
    <w:rsid w:val="000E171C"/>
    <w:rsid w:val="000E2794"/>
    <w:rsid w:val="000E2917"/>
    <w:rsid w:val="000E510E"/>
    <w:rsid w:val="000F2A83"/>
    <w:rsid w:val="000F4A26"/>
    <w:rsid w:val="000F7DA6"/>
    <w:rsid w:val="00106257"/>
    <w:rsid w:val="00106ADC"/>
    <w:rsid w:val="00107385"/>
    <w:rsid w:val="00107430"/>
    <w:rsid w:val="001105F7"/>
    <w:rsid w:val="00110CA3"/>
    <w:rsid w:val="00110CDA"/>
    <w:rsid w:val="001121BB"/>
    <w:rsid w:val="001132A6"/>
    <w:rsid w:val="00113A1E"/>
    <w:rsid w:val="001154CA"/>
    <w:rsid w:val="00121833"/>
    <w:rsid w:val="00121F8F"/>
    <w:rsid w:val="00122293"/>
    <w:rsid w:val="001270F6"/>
    <w:rsid w:val="001272E6"/>
    <w:rsid w:val="001312D5"/>
    <w:rsid w:val="0013300E"/>
    <w:rsid w:val="0013384D"/>
    <w:rsid w:val="00133FFD"/>
    <w:rsid w:val="00136D3C"/>
    <w:rsid w:val="00140E37"/>
    <w:rsid w:val="00140F8F"/>
    <w:rsid w:val="0014195C"/>
    <w:rsid w:val="0014302B"/>
    <w:rsid w:val="00146659"/>
    <w:rsid w:val="0015120A"/>
    <w:rsid w:val="00156866"/>
    <w:rsid w:val="001620F3"/>
    <w:rsid w:val="0016220E"/>
    <w:rsid w:val="00163766"/>
    <w:rsid w:val="00164E75"/>
    <w:rsid w:val="00165955"/>
    <w:rsid w:val="00170815"/>
    <w:rsid w:val="00171DAD"/>
    <w:rsid w:val="00172A23"/>
    <w:rsid w:val="00173471"/>
    <w:rsid w:val="00177C09"/>
    <w:rsid w:val="00180261"/>
    <w:rsid w:val="00180268"/>
    <w:rsid w:val="0018089D"/>
    <w:rsid w:val="00181B3E"/>
    <w:rsid w:val="00185009"/>
    <w:rsid w:val="00186C4A"/>
    <w:rsid w:val="00187252"/>
    <w:rsid w:val="00187E10"/>
    <w:rsid w:val="0019352E"/>
    <w:rsid w:val="00194465"/>
    <w:rsid w:val="001944EE"/>
    <w:rsid w:val="00195BE0"/>
    <w:rsid w:val="001964C8"/>
    <w:rsid w:val="00197F2F"/>
    <w:rsid w:val="001A05F3"/>
    <w:rsid w:val="001A0B0A"/>
    <w:rsid w:val="001A2C27"/>
    <w:rsid w:val="001A2D07"/>
    <w:rsid w:val="001A3AF2"/>
    <w:rsid w:val="001A3DE8"/>
    <w:rsid w:val="001A4AB7"/>
    <w:rsid w:val="001A4AEB"/>
    <w:rsid w:val="001A6EAE"/>
    <w:rsid w:val="001A7E97"/>
    <w:rsid w:val="001B1D21"/>
    <w:rsid w:val="001B2A6E"/>
    <w:rsid w:val="001B37AB"/>
    <w:rsid w:val="001B3AE4"/>
    <w:rsid w:val="001B3F9F"/>
    <w:rsid w:val="001B47B3"/>
    <w:rsid w:val="001B7FFD"/>
    <w:rsid w:val="001C03BC"/>
    <w:rsid w:val="001C0BAC"/>
    <w:rsid w:val="001C2CEF"/>
    <w:rsid w:val="001C421A"/>
    <w:rsid w:val="001C69CC"/>
    <w:rsid w:val="001C6DCB"/>
    <w:rsid w:val="001C722F"/>
    <w:rsid w:val="001C7E81"/>
    <w:rsid w:val="001D4E37"/>
    <w:rsid w:val="001D6127"/>
    <w:rsid w:val="001D63F2"/>
    <w:rsid w:val="001D6FD6"/>
    <w:rsid w:val="001D70CC"/>
    <w:rsid w:val="001D7221"/>
    <w:rsid w:val="001E1DDB"/>
    <w:rsid w:val="001E2B2A"/>
    <w:rsid w:val="001E2CCB"/>
    <w:rsid w:val="001E397E"/>
    <w:rsid w:val="001E5031"/>
    <w:rsid w:val="001E6786"/>
    <w:rsid w:val="001E73E2"/>
    <w:rsid w:val="001F023A"/>
    <w:rsid w:val="001F04A3"/>
    <w:rsid w:val="001F2E35"/>
    <w:rsid w:val="001F4F73"/>
    <w:rsid w:val="001F4F98"/>
    <w:rsid w:val="00204E3F"/>
    <w:rsid w:val="00206058"/>
    <w:rsid w:val="002117F9"/>
    <w:rsid w:val="00211A92"/>
    <w:rsid w:val="00213980"/>
    <w:rsid w:val="0021475C"/>
    <w:rsid w:val="00215843"/>
    <w:rsid w:val="002213C3"/>
    <w:rsid w:val="00221790"/>
    <w:rsid w:val="0022378C"/>
    <w:rsid w:val="00223B9C"/>
    <w:rsid w:val="00224194"/>
    <w:rsid w:val="00224A17"/>
    <w:rsid w:val="002254D5"/>
    <w:rsid w:val="002262E5"/>
    <w:rsid w:val="00232D65"/>
    <w:rsid w:val="00236FDC"/>
    <w:rsid w:val="00237F17"/>
    <w:rsid w:val="00240FC7"/>
    <w:rsid w:val="002434B7"/>
    <w:rsid w:val="00251048"/>
    <w:rsid w:val="002550F6"/>
    <w:rsid w:val="0026009E"/>
    <w:rsid w:val="002610E5"/>
    <w:rsid w:val="00261438"/>
    <w:rsid w:val="002646BE"/>
    <w:rsid w:val="002668CD"/>
    <w:rsid w:val="00266986"/>
    <w:rsid w:val="00267435"/>
    <w:rsid w:val="00270C22"/>
    <w:rsid w:val="00274679"/>
    <w:rsid w:val="00274F7A"/>
    <w:rsid w:val="0028030A"/>
    <w:rsid w:val="00280906"/>
    <w:rsid w:val="00281032"/>
    <w:rsid w:val="00281301"/>
    <w:rsid w:val="002829D4"/>
    <w:rsid w:val="002838E0"/>
    <w:rsid w:val="00286C3B"/>
    <w:rsid w:val="0029074B"/>
    <w:rsid w:val="002921E6"/>
    <w:rsid w:val="00292882"/>
    <w:rsid w:val="002958E0"/>
    <w:rsid w:val="002965C5"/>
    <w:rsid w:val="00296D4A"/>
    <w:rsid w:val="0029799F"/>
    <w:rsid w:val="00297D57"/>
    <w:rsid w:val="002A2AEB"/>
    <w:rsid w:val="002A4572"/>
    <w:rsid w:val="002A53EB"/>
    <w:rsid w:val="002A6C4D"/>
    <w:rsid w:val="002A729A"/>
    <w:rsid w:val="002B481A"/>
    <w:rsid w:val="002B4BBE"/>
    <w:rsid w:val="002B524C"/>
    <w:rsid w:val="002C0072"/>
    <w:rsid w:val="002C31A7"/>
    <w:rsid w:val="002C32EF"/>
    <w:rsid w:val="002C4639"/>
    <w:rsid w:val="002C52CA"/>
    <w:rsid w:val="002C7A46"/>
    <w:rsid w:val="002D01AF"/>
    <w:rsid w:val="002D0E68"/>
    <w:rsid w:val="002D21AA"/>
    <w:rsid w:val="002D2343"/>
    <w:rsid w:val="002D2C5F"/>
    <w:rsid w:val="002D3A34"/>
    <w:rsid w:val="002D51EE"/>
    <w:rsid w:val="002D5BB7"/>
    <w:rsid w:val="002D6124"/>
    <w:rsid w:val="002D6E65"/>
    <w:rsid w:val="002E1120"/>
    <w:rsid w:val="002E182F"/>
    <w:rsid w:val="002E1A6C"/>
    <w:rsid w:val="002E1E47"/>
    <w:rsid w:val="002E221B"/>
    <w:rsid w:val="002E31BF"/>
    <w:rsid w:val="002E7F26"/>
    <w:rsid w:val="002F0AFE"/>
    <w:rsid w:val="002F14E9"/>
    <w:rsid w:val="002F1714"/>
    <w:rsid w:val="002F1815"/>
    <w:rsid w:val="002F56B3"/>
    <w:rsid w:val="00302CF5"/>
    <w:rsid w:val="00304557"/>
    <w:rsid w:val="003058FE"/>
    <w:rsid w:val="00305E61"/>
    <w:rsid w:val="00305EB0"/>
    <w:rsid w:val="003076F9"/>
    <w:rsid w:val="003127ED"/>
    <w:rsid w:val="00313375"/>
    <w:rsid w:val="00315388"/>
    <w:rsid w:val="00325BEC"/>
    <w:rsid w:val="0032716A"/>
    <w:rsid w:val="00332912"/>
    <w:rsid w:val="003337DB"/>
    <w:rsid w:val="00336BBE"/>
    <w:rsid w:val="00341F7A"/>
    <w:rsid w:val="0034283C"/>
    <w:rsid w:val="00347D88"/>
    <w:rsid w:val="00350492"/>
    <w:rsid w:val="00350FD4"/>
    <w:rsid w:val="00351598"/>
    <w:rsid w:val="00352CC7"/>
    <w:rsid w:val="00353569"/>
    <w:rsid w:val="00353D43"/>
    <w:rsid w:val="00354B47"/>
    <w:rsid w:val="0035557C"/>
    <w:rsid w:val="003557E0"/>
    <w:rsid w:val="00355BE6"/>
    <w:rsid w:val="00355E80"/>
    <w:rsid w:val="00356CDD"/>
    <w:rsid w:val="00356D1D"/>
    <w:rsid w:val="00356DD8"/>
    <w:rsid w:val="00356E9E"/>
    <w:rsid w:val="003572B8"/>
    <w:rsid w:val="0036044B"/>
    <w:rsid w:val="00360C0E"/>
    <w:rsid w:val="00362735"/>
    <w:rsid w:val="003632B7"/>
    <w:rsid w:val="00367855"/>
    <w:rsid w:val="00367AAA"/>
    <w:rsid w:val="00370799"/>
    <w:rsid w:val="003713C7"/>
    <w:rsid w:val="00372BCE"/>
    <w:rsid w:val="00373A96"/>
    <w:rsid w:val="003745B4"/>
    <w:rsid w:val="003756E6"/>
    <w:rsid w:val="00377F3E"/>
    <w:rsid w:val="00384C96"/>
    <w:rsid w:val="0038591C"/>
    <w:rsid w:val="003860FB"/>
    <w:rsid w:val="00392121"/>
    <w:rsid w:val="00393BB8"/>
    <w:rsid w:val="003952BD"/>
    <w:rsid w:val="00395759"/>
    <w:rsid w:val="00396349"/>
    <w:rsid w:val="00396886"/>
    <w:rsid w:val="003A295B"/>
    <w:rsid w:val="003A36E3"/>
    <w:rsid w:val="003A3FF3"/>
    <w:rsid w:val="003A4DBE"/>
    <w:rsid w:val="003A6EF4"/>
    <w:rsid w:val="003B06D8"/>
    <w:rsid w:val="003B2141"/>
    <w:rsid w:val="003B2BB9"/>
    <w:rsid w:val="003B5751"/>
    <w:rsid w:val="003B6C84"/>
    <w:rsid w:val="003C05ED"/>
    <w:rsid w:val="003C1CD5"/>
    <w:rsid w:val="003C4E5E"/>
    <w:rsid w:val="003C5240"/>
    <w:rsid w:val="003C5C20"/>
    <w:rsid w:val="003C66D0"/>
    <w:rsid w:val="003C6931"/>
    <w:rsid w:val="003C6C67"/>
    <w:rsid w:val="003D096C"/>
    <w:rsid w:val="003D1728"/>
    <w:rsid w:val="003D29B1"/>
    <w:rsid w:val="003E1FA1"/>
    <w:rsid w:val="003E280F"/>
    <w:rsid w:val="003E3B07"/>
    <w:rsid w:val="003E4448"/>
    <w:rsid w:val="003E523A"/>
    <w:rsid w:val="003E6F2B"/>
    <w:rsid w:val="003F1A80"/>
    <w:rsid w:val="003F32C4"/>
    <w:rsid w:val="003F4FA5"/>
    <w:rsid w:val="003F7505"/>
    <w:rsid w:val="00401C8E"/>
    <w:rsid w:val="00401FCC"/>
    <w:rsid w:val="004033FF"/>
    <w:rsid w:val="00406039"/>
    <w:rsid w:val="00406E0C"/>
    <w:rsid w:val="004124CD"/>
    <w:rsid w:val="00412E9C"/>
    <w:rsid w:val="00413783"/>
    <w:rsid w:val="0041485D"/>
    <w:rsid w:val="00415821"/>
    <w:rsid w:val="00416B87"/>
    <w:rsid w:val="00416FB2"/>
    <w:rsid w:val="0041707A"/>
    <w:rsid w:val="00417FC0"/>
    <w:rsid w:val="00423E0F"/>
    <w:rsid w:val="004249D5"/>
    <w:rsid w:val="00424AC8"/>
    <w:rsid w:val="00424D5F"/>
    <w:rsid w:val="00431BC9"/>
    <w:rsid w:val="00432D93"/>
    <w:rsid w:val="0043548E"/>
    <w:rsid w:val="00436707"/>
    <w:rsid w:val="00436AD1"/>
    <w:rsid w:val="004402FD"/>
    <w:rsid w:val="00441F12"/>
    <w:rsid w:val="0044205E"/>
    <w:rsid w:val="00445961"/>
    <w:rsid w:val="00447DDF"/>
    <w:rsid w:val="0045091D"/>
    <w:rsid w:val="00451147"/>
    <w:rsid w:val="004514E6"/>
    <w:rsid w:val="00451E88"/>
    <w:rsid w:val="004540D0"/>
    <w:rsid w:val="00454893"/>
    <w:rsid w:val="00454FBA"/>
    <w:rsid w:val="00455693"/>
    <w:rsid w:val="00455C65"/>
    <w:rsid w:val="00460845"/>
    <w:rsid w:val="00460F6D"/>
    <w:rsid w:val="00462F7E"/>
    <w:rsid w:val="0047142F"/>
    <w:rsid w:val="00471EF6"/>
    <w:rsid w:val="00472A86"/>
    <w:rsid w:val="00473AAE"/>
    <w:rsid w:val="0047717D"/>
    <w:rsid w:val="004778DA"/>
    <w:rsid w:val="00477FD7"/>
    <w:rsid w:val="0048105B"/>
    <w:rsid w:val="004815B7"/>
    <w:rsid w:val="00483CBF"/>
    <w:rsid w:val="0048448A"/>
    <w:rsid w:val="00484862"/>
    <w:rsid w:val="004868AA"/>
    <w:rsid w:val="00490515"/>
    <w:rsid w:val="00493539"/>
    <w:rsid w:val="004957B7"/>
    <w:rsid w:val="004963E3"/>
    <w:rsid w:val="004A0576"/>
    <w:rsid w:val="004A372F"/>
    <w:rsid w:val="004A4C92"/>
    <w:rsid w:val="004A5FC6"/>
    <w:rsid w:val="004A683B"/>
    <w:rsid w:val="004B05A5"/>
    <w:rsid w:val="004B0B93"/>
    <w:rsid w:val="004B5617"/>
    <w:rsid w:val="004B756C"/>
    <w:rsid w:val="004C1590"/>
    <w:rsid w:val="004C2086"/>
    <w:rsid w:val="004C48A5"/>
    <w:rsid w:val="004C4C65"/>
    <w:rsid w:val="004C4CDD"/>
    <w:rsid w:val="004C7E83"/>
    <w:rsid w:val="004D32D4"/>
    <w:rsid w:val="004D40D8"/>
    <w:rsid w:val="004D5826"/>
    <w:rsid w:val="004E0F6C"/>
    <w:rsid w:val="004E6A3B"/>
    <w:rsid w:val="004E7AA2"/>
    <w:rsid w:val="004F5998"/>
    <w:rsid w:val="004F660F"/>
    <w:rsid w:val="004F7393"/>
    <w:rsid w:val="005021FA"/>
    <w:rsid w:val="00502391"/>
    <w:rsid w:val="00502AFB"/>
    <w:rsid w:val="0050392D"/>
    <w:rsid w:val="0050754B"/>
    <w:rsid w:val="00513D18"/>
    <w:rsid w:val="00515BBA"/>
    <w:rsid w:val="005162A3"/>
    <w:rsid w:val="00517F50"/>
    <w:rsid w:val="0052061F"/>
    <w:rsid w:val="0052143C"/>
    <w:rsid w:val="00522CB4"/>
    <w:rsid w:val="00524DDA"/>
    <w:rsid w:val="00526214"/>
    <w:rsid w:val="00527664"/>
    <w:rsid w:val="005302E6"/>
    <w:rsid w:val="005315C9"/>
    <w:rsid w:val="00533135"/>
    <w:rsid w:val="00534078"/>
    <w:rsid w:val="005347D1"/>
    <w:rsid w:val="0053599C"/>
    <w:rsid w:val="00535F44"/>
    <w:rsid w:val="0053629C"/>
    <w:rsid w:val="00537EC1"/>
    <w:rsid w:val="005409FF"/>
    <w:rsid w:val="005431A2"/>
    <w:rsid w:val="005507A0"/>
    <w:rsid w:val="005513E9"/>
    <w:rsid w:val="00553196"/>
    <w:rsid w:val="005536C5"/>
    <w:rsid w:val="00554FEA"/>
    <w:rsid w:val="005554BA"/>
    <w:rsid w:val="00556357"/>
    <w:rsid w:val="0055637B"/>
    <w:rsid w:val="00556629"/>
    <w:rsid w:val="00560E8B"/>
    <w:rsid w:val="005631EA"/>
    <w:rsid w:val="00564357"/>
    <w:rsid w:val="00571D67"/>
    <w:rsid w:val="00572C04"/>
    <w:rsid w:val="0057324C"/>
    <w:rsid w:val="005749BE"/>
    <w:rsid w:val="00580322"/>
    <w:rsid w:val="00584BA3"/>
    <w:rsid w:val="00584DB6"/>
    <w:rsid w:val="00586C35"/>
    <w:rsid w:val="00587BBD"/>
    <w:rsid w:val="00591A91"/>
    <w:rsid w:val="00592D60"/>
    <w:rsid w:val="00594BAD"/>
    <w:rsid w:val="005969F1"/>
    <w:rsid w:val="00596E2A"/>
    <w:rsid w:val="005A368E"/>
    <w:rsid w:val="005A3AB9"/>
    <w:rsid w:val="005A4C19"/>
    <w:rsid w:val="005A4DD2"/>
    <w:rsid w:val="005A5960"/>
    <w:rsid w:val="005B0899"/>
    <w:rsid w:val="005B0972"/>
    <w:rsid w:val="005B1A65"/>
    <w:rsid w:val="005B1CFF"/>
    <w:rsid w:val="005B1FE1"/>
    <w:rsid w:val="005B20B4"/>
    <w:rsid w:val="005B57A7"/>
    <w:rsid w:val="005B6F81"/>
    <w:rsid w:val="005B714E"/>
    <w:rsid w:val="005C0205"/>
    <w:rsid w:val="005C0F0F"/>
    <w:rsid w:val="005C3E1D"/>
    <w:rsid w:val="005C510A"/>
    <w:rsid w:val="005C6079"/>
    <w:rsid w:val="005C61DB"/>
    <w:rsid w:val="005C6E80"/>
    <w:rsid w:val="005C7DCA"/>
    <w:rsid w:val="005D737E"/>
    <w:rsid w:val="005E0CE2"/>
    <w:rsid w:val="005E10BE"/>
    <w:rsid w:val="005E2066"/>
    <w:rsid w:val="005E232F"/>
    <w:rsid w:val="005E462A"/>
    <w:rsid w:val="005E5DEA"/>
    <w:rsid w:val="005E71AE"/>
    <w:rsid w:val="005F2BDE"/>
    <w:rsid w:val="005F2D3C"/>
    <w:rsid w:val="005F317A"/>
    <w:rsid w:val="005F3B6C"/>
    <w:rsid w:val="005F5583"/>
    <w:rsid w:val="005F5F3E"/>
    <w:rsid w:val="006003A0"/>
    <w:rsid w:val="006018CF"/>
    <w:rsid w:val="00602899"/>
    <w:rsid w:val="0060363A"/>
    <w:rsid w:val="0060445B"/>
    <w:rsid w:val="00604B01"/>
    <w:rsid w:val="006064B2"/>
    <w:rsid w:val="006071E4"/>
    <w:rsid w:val="00610E84"/>
    <w:rsid w:val="00611118"/>
    <w:rsid w:val="00611420"/>
    <w:rsid w:val="00613DB3"/>
    <w:rsid w:val="00615589"/>
    <w:rsid w:val="00617985"/>
    <w:rsid w:val="00621211"/>
    <w:rsid w:val="00621979"/>
    <w:rsid w:val="00621ECE"/>
    <w:rsid w:val="00624AB0"/>
    <w:rsid w:val="0062588B"/>
    <w:rsid w:val="00625C8D"/>
    <w:rsid w:val="0062680E"/>
    <w:rsid w:val="006279A4"/>
    <w:rsid w:val="00634E3F"/>
    <w:rsid w:val="00636F63"/>
    <w:rsid w:val="00640165"/>
    <w:rsid w:val="00641EF8"/>
    <w:rsid w:val="00641F39"/>
    <w:rsid w:val="0064210B"/>
    <w:rsid w:val="0064420C"/>
    <w:rsid w:val="00650EF9"/>
    <w:rsid w:val="00655768"/>
    <w:rsid w:val="00655E95"/>
    <w:rsid w:val="00656725"/>
    <w:rsid w:val="00656F94"/>
    <w:rsid w:val="00661C4E"/>
    <w:rsid w:val="00661E3C"/>
    <w:rsid w:val="00662106"/>
    <w:rsid w:val="00664DB5"/>
    <w:rsid w:val="00666AD3"/>
    <w:rsid w:val="00667FEA"/>
    <w:rsid w:val="0067252C"/>
    <w:rsid w:val="00674BAD"/>
    <w:rsid w:val="00675398"/>
    <w:rsid w:val="0067709D"/>
    <w:rsid w:val="006776A2"/>
    <w:rsid w:val="006818FD"/>
    <w:rsid w:val="0068659C"/>
    <w:rsid w:val="00687658"/>
    <w:rsid w:val="006910CE"/>
    <w:rsid w:val="00692700"/>
    <w:rsid w:val="00694459"/>
    <w:rsid w:val="006952D5"/>
    <w:rsid w:val="00695CEA"/>
    <w:rsid w:val="006A161A"/>
    <w:rsid w:val="006A1D62"/>
    <w:rsid w:val="006A2F7D"/>
    <w:rsid w:val="006A3709"/>
    <w:rsid w:val="006A3CE1"/>
    <w:rsid w:val="006A3E04"/>
    <w:rsid w:val="006A468B"/>
    <w:rsid w:val="006A7048"/>
    <w:rsid w:val="006B06DB"/>
    <w:rsid w:val="006B22B2"/>
    <w:rsid w:val="006B3708"/>
    <w:rsid w:val="006C115D"/>
    <w:rsid w:val="006C13F9"/>
    <w:rsid w:val="006C2831"/>
    <w:rsid w:val="006C2DBF"/>
    <w:rsid w:val="006C620D"/>
    <w:rsid w:val="006D04EB"/>
    <w:rsid w:val="006D0DA5"/>
    <w:rsid w:val="006D175D"/>
    <w:rsid w:val="006D28D6"/>
    <w:rsid w:val="006D4B56"/>
    <w:rsid w:val="006D51AE"/>
    <w:rsid w:val="006D5ACA"/>
    <w:rsid w:val="006E005B"/>
    <w:rsid w:val="006E08E7"/>
    <w:rsid w:val="006E3285"/>
    <w:rsid w:val="006E34C2"/>
    <w:rsid w:val="006E7788"/>
    <w:rsid w:val="006F0205"/>
    <w:rsid w:val="006F1373"/>
    <w:rsid w:val="006F1D4B"/>
    <w:rsid w:val="006F3C1E"/>
    <w:rsid w:val="006F5FA0"/>
    <w:rsid w:val="006F620C"/>
    <w:rsid w:val="006F634A"/>
    <w:rsid w:val="006F74E6"/>
    <w:rsid w:val="006F77AD"/>
    <w:rsid w:val="0070169B"/>
    <w:rsid w:val="00703392"/>
    <w:rsid w:val="00703393"/>
    <w:rsid w:val="00704943"/>
    <w:rsid w:val="00705C7A"/>
    <w:rsid w:val="00706D6D"/>
    <w:rsid w:val="00707D81"/>
    <w:rsid w:val="007103B4"/>
    <w:rsid w:val="00710B21"/>
    <w:rsid w:val="00711ED6"/>
    <w:rsid w:val="00714009"/>
    <w:rsid w:val="0071640E"/>
    <w:rsid w:val="00716BE1"/>
    <w:rsid w:val="00716CC1"/>
    <w:rsid w:val="00721344"/>
    <w:rsid w:val="007237D7"/>
    <w:rsid w:val="00726F6D"/>
    <w:rsid w:val="007303E9"/>
    <w:rsid w:val="007323A6"/>
    <w:rsid w:val="007327E4"/>
    <w:rsid w:val="00733A06"/>
    <w:rsid w:val="007355B4"/>
    <w:rsid w:val="00736CF8"/>
    <w:rsid w:val="007401A9"/>
    <w:rsid w:val="00742AB9"/>
    <w:rsid w:val="00742D80"/>
    <w:rsid w:val="00742E51"/>
    <w:rsid w:val="00743C3F"/>
    <w:rsid w:val="0074532D"/>
    <w:rsid w:val="007457EC"/>
    <w:rsid w:val="0075328B"/>
    <w:rsid w:val="00757163"/>
    <w:rsid w:val="00757204"/>
    <w:rsid w:val="00757B42"/>
    <w:rsid w:val="007657F0"/>
    <w:rsid w:val="00765EB7"/>
    <w:rsid w:val="00766F55"/>
    <w:rsid w:val="00771BD8"/>
    <w:rsid w:val="00773AF0"/>
    <w:rsid w:val="00776BE9"/>
    <w:rsid w:val="007778D2"/>
    <w:rsid w:val="00781EAF"/>
    <w:rsid w:val="00783B6A"/>
    <w:rsid w:val="00783DD1"/>
    <w:rsid w:val="00784D89"/>
    <w:rsid w:val="007865B0"/>
    <w:rsid w:val="00787EA9"/>
    <w:rsid w:val="00792067"/>
    <w:rsid w:val="00792BE8"/>
    <w:rsid w:val="00794F92"/>
    <w:rsid w:val="00795F77"/>
    <w:rsid w:val="007963F9"/>
    <w:rsid w:val="007A063A"/>
    <w:rsid w:val="007A2532"/>
    <w:rsid w:val="007A3D00"/>
    <w:rsid w:val="007A3EDC"/>
    <w:rsid w:val="007A508C"/>
    <w:rsid w:val="007A6498"/>
    <w:rsid w:val="007A7528"/>
    <w:rsid w:val="007A7B24"/>
    <w:rsid w:val="007A7E5E"/>
    <w:rsid w:val="007B03D2"/>
    <w:rsid w:val="007B0A1B"/>
    <w:rsid w:val="007B1580"/>
    <w:rsid w:val="007B185A"/>
    <w:rsid w:val="007B49F8"/>
    <w:rsid w:val="007B7E14"/>
    <w:rsid w:val="007C16A5"/>
    <w:rsid w:val="007C2CA9"/>
    <w:rsid w:val="007C2D22"/>
    <w:rsid w:val="007C5196"/>
    <w:rsid w:val="007C69A1"/>
    <w:rsid w:val="007D016F"/>
    <w:rsid w:val="007D0511"/>
    <w:rsid w:val="007D15DC"/>
    <w:rsid w:val="007D3824"/>
    <w:rsid w:val="007D4E14"/>
    <w:rsid w:val="007D53E6"/>
    <w:rsid w:val="007E1BBF"/>
    <w:rsid w:val="007E1F7D"/>
    <w:rsid w:val="007E36AF"/>
    <w:rsid w:val="007E5F7C"/>
    <w:rsid w:val="007E70C6"/>
    <w:rsid w:val="007F26CC"/>
    <w:rsid w:val="007F2753"/>
    <w:rsid w:val="007F5AC6"/>
    <w:rsid w:val="007F5D1E"/>
    <w:rsid w:val="007F650B"/>
    <w:rsid w:val="007F7FB5"/>
    <w:rsid w:val="008012DD"/>
    <w:rsid w:val="008020CD"/>
    <w:rsid w:val="00803B3E"/>
    <w:rsid w:val="00810E57"/>
    <w:rsid w:val="008126E8"/>
    <w:rsid w:val="0081463F"/>
    <w:rsid w:val="00816FDD"/>
    <w:rsid w:val="0081786C"/>
    <w:rsid w:val="008204AE"/>
    <w:rsid w:val="00822809"/>
    <w:rsid w:val="00823376"/>
    <w:rsid w:val="008275EC"/>
    <w:rsid w:val="008306DF"/>
    <w:rsid w:val="00830F6B"/>
    <w:rsid w:val="00832EFC"/>
    <w:rsid w:val="00834B64"/>
    <w:rsid w:val="00837D02"/>
    <w:rsid w:val="00844AB1"/>
    <w:rsid w:val="00847269"/>
    <w:rsid w:val="00850ED2"/>
    <w:rsid w:val="008537AF"/>
    <w:rsid w:val="0085481C"/>
    <w:rsid w:val="00854C50"/>
    <w:rsid w:val="00855A7E"/>
    <w:rsid w:val="0085610E"/>
    <w:rsid w:val="00860A57"/>
    <w:rsid w:val="00861992"/>
    <w:rsid w:val="008643D4"/>
    <w:rsid w:val="008652D7"/>
    <w:rsid w:val="00865FC5"/>
    <w:rsid w:val="008711E7"/>
    <w:rsid w:val="0087217B"/>
    <w:rsid w:val="008737A2"/>
    <w:rsid w:val="0087388F"/>
    <w:rsid w:val="00874389"/>
    <w:rsid w:val="0087586D"/>
    <w:rsid w:val="00875DAC"/>
    <w:rsid w:val="00876EA4"/>
    <w:rsid w:val="0088031B"/>
    <w:rsid w:val="00880463"/>
    <w:rsid w:val="00880E86"/>
    <w:rsid w:val="00882318"/>
    <w:rsid w:val="008834DB"/>
    <w:rsid w:val="008860C6"/>
    <w:rsid w:val="00890755"/>
    <w:rsid w:val="00892229"/>
    <w:rsid w:val="008945A4"/>
    <w:rsid w:val="008A170C"/>
    <w:rsid w:val="008A31C0"/>
    <w:rsid w:val="008A33E7"/>
    <w:rsid w:val="008A3977"/>
    <w:rsid w:val="008A64AB"/>
    <w:rsid w:val="008A6575"/>
    <w:rsid w:val="008A68A5"/>
    <w:rsid w:val="008A78A1"/>
    <w:rsid w:val="008B0E9E"/>
    <w:rsid w:val="008B2C9B"/>
    <w:rsid w:val="008B3FA6"/>
    <w:rsid w:val="008B4866"/>
    <w:rsid w:val="008B5485"/>
    <w:rsid w:val="008B6B4B"/>
    <w:rsid w:val="008B75E4"/>
    <w:rsid w:val="008C0433"/>
    <w:rsid w:val="008C3557"/>
    <w:rsid w:val="008C3AD9"/>
    <w:rsid w:val="008C3DC3"/>
    <w:rsid w:val="008C64C1"/>
    <w:rsid w:val="008C6D49"/>
    <w:rsid w:val="008C6E26"/>
    <w:rsid w:val="008C76FD"/>
    <w:rsid w:val="008D2CEA"/>
    <w:rsid w:val="008D31FC"/>
    <w:rsid w:val="008D430A"/>
    <w:rsid w:val="008D5E57"/>
    <w:rsid w:val="008D6C5B"/>
    <w:rsid w:val="008E121E"/>
    <w:rsid w:val="008E2272"/>
    <w:rsid w:val="008E2D70"/>
    <w:rsid w:val="008E4122"/>
    <w:rsid w:val="008E477B"/>
    <w:rsid w:val="008E6FF3"/>
    <w:rsid w:val="008F1197"/>
    <w:rsid w:val="008F1E77"/>
    <w:rsid w:val="008F2BFD"/>
    <w:rsid w:val="008F2FA5"/>
    <w:rsid w:val="008F52EE"/>
    <w:rsid w:val="008F7FC0"/>
    <w:rsid w:val="009008C9"/>
    <w:rsid w:val="00901C99"/>
    <w:rsid w:val="00902D1B"/>
    <w:rsid w:val="00904E69"/>
    <w:rsid w:val="00905E3D"/>
    <w:rsid w:val="00912914"/>
    <w:rsid w:val="00913C55"/>
    <w:rsid w:val="009166C3"/>
    <w:rsid w:val="00916C60"/>
    <w:rsid w:val="00917574"/>
    <w:rsid w:val="00917648"/>
    <w:rsid w:val="00920A05"/>
    <w:rsid w:val="00921429"/>
    <w:rsid w:val="0092176B"/>
    <w:rsid w:val="00922637"/>
    <w:rsid w:val="009229BE"/>
    <w:rsid w:val="0092397E"/>
    <w:rsid w:val="00924D5B"/>
    <w:rsid w:val="00927B17"/>
    <w:rsid w:val="00931CF1"/>
    <w:rsid w:val="00934073"/>
    <w:rsid w:val="00936D69"/>
    <w:rsid w:val="00937A98"/>
    <w:rsid w:val="00940E21"/>
    <w:rsid w:val="009435AC"/>
    <w:rsid w:val="0094380D"/>
    <w:rsid w:val="0094432B"/>
    <w:rsid w:val="009449A9"/>
    <w:rsid w:val="00946B48"/>
    <w:rsid w:val="00947B45"/>
    <w:rsid w:val="0095246C"/>
    <w:rsid w:val="0095677F"/>
    <w:rsid w:val="00960363"/>
    <w:rsid w:val="00962588"/>
    <w:rsid w:val="0096311D"/>
    <w:rsid w:val="00963581"/>
    <w:rsid w:val="0096477C"/>
    <w:rsid w:val="00964E80"/>
    <w:rsid w:val="0096719C"/>
    <w:rsid w:val="00971E80"/>
    <w:rsid w:val="00971EE0"/>
    <w:rsid w:val="00974165"/>
    <w:rsid w:val="00976DC1"/>
    <w:rsid w:val="00977F3C"/>
    <w:rsid w:val="00981EF5"/>
    <w:rsid w:val="00982DCC"/>
    <w:rsid w:val="00996007"/>
    <w:rsid w:val="009973BE"/>
    <w:rsid w:val="009A0570"/>
    <w:rsid w:val="009A2C79"/>
    <w:rsid w:val="009A2E4C"/>
    <w:rsid w:val="009A3557"/>
    <w:rsid w:val="009A5EEE"/>
    <w:rsid w:val="009B05F2"/>
    <w:rsid w:val="009B170C"/>
    <w:rsid w:val="009B3900"/>
    <w:rsid w:val="009B4B99"/>
    <w:rsid w:val="009B7555"/>
    <w:rsid w:val="009C03F2"/>
    <w:rsid w:val="009C0555"/>
    <w:rsid w:val="009C2811"/>
    <w:rsid w:val="009C579F"/>
    <w:rsid w:val="009C5D00"/>
    <w:rsid w:val="009C69A0"/>
    <w:rsid w:val="009D086E"/>
    <w:rsid w:val="009D4423"/>
    <w:rsid w:val="009D4F16"/>
    <w:rsid w:val="009D7FCF"/>
    <w:rsid w:val="009E0EC1"/>
    <w:rsid w:val="009E1802"/>
    <w:rsid w:val="009E26DD"/>
    <w:rsid w:val="009E300D"/>
    <w:rsid w:val="009E5015"/>
    <w:rsid w:val="009E7139"/>
    <w:rsid w:val="009F4767"/>
    <w:rsid w:val="009F4A32"/>
    <w:rsid w:val="009F4D5C"/>
    <w:rsid w:val="009F515D"/>
    <w:rsid w:val="009F5654"/>
    <w:rsid w:val="00A0106D"/>
    <w:rsid w:val="00A01C17"/>
    <w:rsid w:val="00A02150"/>
    <w:rsid w:val="00A0415B"/>
    <w:rsid w:val="00A04CF6"/>
    <w:rsid w:val="00A04F50"/>
    <w:rsid w:val="00A11BB0"/>
    <w:rsid w:val="00A16208"/>
    <w:rsid w:val="00A202A4"/>
    <w:rsid w:val="00A210E6"/>
    <w:rsid w:val="00A27634"/>
    <w:rsid w:val="00A30E6F"/>
    <w:rsid w:val="00A34C73"/>
    <w:rsid w:val="00A3542C"/>
    <w:rsid w:val="00A360AA"/>
    <w:rsid w:val="00A37A8D"/>
    <w:rsid w:val="00A427CB"/>
    <w:rsid w:val="00A44149"/>
    <w:rsid w:val="00A44497"/>
    <w:rsid w:val="00A44E90"/>
    <w:rsid w:val="00A46552"/>
    <w:rsid w:val="00A5127C"/>
    <w:rsid w:val="00A52662"/>
    <w:rsid w:val="00A5319A"/>
    <w:rsid w:val="00A54BB7"/>
    <w:rsid w:val="00A556CC"/>
    <w:rsid w:val="00A57510"/>
    <w:rsid w:val="00A6470A"/>
    <w:rsid w:val="00A660E8"/>
    <w:rsid w:val="00A7186F"/>
    <w:rsid w:val="00A74A42"/>
    <w:rsid w:val="00A76D73"/>
    <w:rsid w:val="00A8017F"/>
    <w:rsid w:val="00A80871"/>
    <w:rsid w:val="00A808ED"/>
    <w:rsid w:val="00A810B2"/>
    <w:rsid w:val="00A821CE"/>
    <w:rsid w:val="00A83D36"/>
    <w:rsid w:val="00A84072"/>
    <w:rsid w:val="00A846AA"/>
    <w:rsid w:val="00A90234"/>
    <w:rsid w:val="00A90366"/>
    <w:rsid w:val="00A915A8"/>
    <w:rsid w:val="00A918E6"/>
    <w:rsid w:val="00A92E1B"/>
    <w:rsid w:val="00A95527"/>
    <w:rsid w:val="00A978D6"/>
    <w:rsid w:val="00AA0CD2"/>
    <w:rsid w:val="00AA1CBE"/>
    <w:rsid w:val="00AA2AA5"/>
    <w:rsid w:val="00AA3779"/>
    <w:rsid w:val="00AA4A9C"/>
    <w:rsid w:val="00AA514B"/>
    <w:rsid w:val="00AB100F"/>
    <w:rsid w:val="00AB1171"/>
    <w:rsid w:val="00AB3F41"/>
    <w:rsid w:val="00AC1068"/>
    <w:rsid w:val="00AC2D8E"/>
    <w:rsid w:val="00AC2E95"/>
    <w:rsid w:val="00AC7A56"/>
    <w:rsid w:val="00AD13FB"/>
    <w:rsid w:val="00AD2275"/>
    <w:rsid w:val="00AD27EE"/>
    <w:rsid w:val="00AD3EE4"/>
    <w:rsid w:val="00AD52E6"/>
    <w:rsid w:val="00AD62E8"/>
    <w:rsid w:val="00AE1316"/>
    <w:rsid w:val="00AE1F89"/>
    <w:rsid w:val="00AE2B03"/>
    <w:rsid w:val="00AE4CB8"/>
    <w:rsid w:val="00AE504E"/>
    <w:rsid w:val="00AE5590"/>
    <w:rsid w:val="00AE7A4C"/>
    <w:rsid w:val="00AF2F45"/>
    <w:rsid w:val="00AF438D"/>
    <w:rsid w:val="00AF5C1D"/>
    <w:rsid w:val="00AF5D9C"/>
    <w:rsid w:val="00B0098C"/>
    <w:rsid w:val="00B00B89"/>
    <w:rsid w:val="00B02A67"/>
    <w:rsid w:val="00B036E0"/>
    <w:rsid w:val="00B03E48"/>
    <w:rsid w:val="00B06EAC"/>
    <w:rsid w:val="00B10985"/>
    <w:rsid w:val="00B138F2"/>
    <w:rsid w:val="00B13FF2"/>
    <w:rsid w:val="00B15837"/>
    <w:rsid w:val="00B15E63"/>
    <w:rsid w:val="00B22B79"/>
    <w:rsid w:val="00B23F29"/>
    <w:rsid w:val="00B26332"/>
    <w:rsid w:val="00B271BF"/>
    <w:rsid w:val="00B27531"/>
    <w:rsid w:val="00B27568"/>
    <w:rsid w:val="00B27B0F"/>
    <w:rsid w:val="00B27D38"/>
    <w:rsid w:val="00B30C44"/>
    <w:rsid w:val="00B318A5"/>
    <w:rsid w:val="00B354B2"/>
    <w:rsid w:val="00B36178"/>
    <w:rsid w:val="00B37741"/>
    <w:rsid w:val="00B4043C"/>
    <w:rsid w:val="00B427A9"/>
    <w:rsid w:val="00B45B38"/>
    <w:rsid w:val="00B47916"/>
    <w:rsid w:val="00B5037A"/>
    <w:rsid w:val="00B513C3"/>
    <w:rsid w:val="00B53FF4"/>
    <w:rsid w:val="00B54B1B"/>
    <w:rsid w:val="00B55BFC"/>
    <w:rsid w:val="00B63286"/>
    <w:rsid w:val="00B6461C"/>
    <w:rsid w:val="00B7099B"/>
    <w:rsid w:val="00B757D6"/>
    <w:rsid w:val="00B771FB"/>
    <w:rsid w:val="00B823BA"/>
    <w:rsid w:val="00B851EF"/>
    <w:rsid w:val="00B85D22"/>
    <w:rsid w:val="00B90A6F"/>
    <w:rsid w:val="00B948F9"/>
    <w:rsid w:val="00B94B02"/>
    <w:rsid w:val="00B97DD2"/>
    <w:rsid w:val="00BA03B4"/>
    <w:rsid w:val="00BA0ED8"/>
    <w:rsid w:val="00BA6732"/>
    <w:rsid w:val="00BB1776"/>
    <w:rsid w:val="00BB3D91"/>
    <w:rsid w:val="00BB7F39"/>
    <w:rsid w:val="00BC0700"/>
    <w:rsid w:val="00BC1F92"/>
    <w:rsid w:val="00BC2743"/>
    <w:rsid w:val="00BC5697"/>
    <w:rsid w:val="00BD16F5"/>
    <w:rsid w:val="00BD4083"/>
    <w:rsid w:val="00BE0633"/>
    <w:rsid w:val="00BE0B79"/>
    <w:rsid w:val="00BE23CA"/>
    <w:rsid w:val="00BE41F8"/>
    <w:rsid w:val="00BF0922"/>
    <w:rsid w:val="00BF0E1C"/>
    <w:rsid w:val="00BF0F29"/>
    <w:rsid w:val="00BF1B93"/>
    <w:rsid w:val="00BF651D"/>
    <w:rsid w:val="00BF6DF3"/>
    <w:rsid w:val="00C00E54"/>
    <w:rsid w:val="00C03789"/>
    <w:rsid w:val="00C037D5"/>
    <w:rsid w:val="00C03890"/>
    <w:rsid w:val="00C076C6"/>
    <w:rsid w:val="00C1038E"/>
    <w:rsid w:val="00C1250C"/>
    <w:rsid w:val="00C127E8"/>
    <w:rsid w:val="00C13BCE"/>
    <w:rsid w:val="00C13DB7"/>
    <w:rsid w:val="00C15812"/>
    <w:rsid w:val="00C15BA0"/>
    <w:rsid w:val="00C1634D"/>
    <w:rsid w:val="00C1652C"/>
    <w:rsid w:val="00C177E2"/>
    <w:rsid w:val="00C1796D"/>
    <w:rsid w:val="00C21D25"/>
    <w:rsid w:val="00C22AA2"/>
    <w:rsid w:val="00C22C09"/>
    <w:rsid w:val="00C24208"/>
    <w:rsid w:val="00C25C7E"/>
    <w:rsid w:val="00C25F29"/>
    <w:rsid w:val="00C25FE0"/>
    <w:rsid w:val="00C269E5"/>
    <w:rsid w:val="00C3019E"/>
    <w:rsid w:val="00C3339C"/>
    <w:rsid w:val="00C34355"/>
    <w:rsid w:val="00C3517B"/>
    <w:rsid w:val="00C42029"/>
    <w:rsid w:val="00C43B55"/>
    <w:rsid w:val="00C4419A"/>
    <w:rsid w:val="00C506E9"/>
    <w:rsid w:val="00C50CBF"/>
    <w:rsid w:val="00C50E6A"/>
    <w:rsid w:val="00C55298"/>
    <w:rsid w:val="00C56E91"/>
    <w:rsid w:val="00C577A0"/>
    <w:rsid w:val="00C60CEF"/>
    <w:rsid w:val="00C61F89"/>
    <w:rsid w:val="00C626D3"/>
    <w:rsid w:val="00C65A57"/>
    <w:rsid w:val="00C67681"/>
    <w:rsid w:val="00C7121D"/>
    <w:rsid w:val="00C72FA6"/>
    <w:rsid w:val="00C731EC"/>
    <w:rsid w:val="00C7364E"/>
    <w:rsid w:val="00C7440F"/>
    <w:rsid w:val="00C7655D"/>
    <w:rsid w:val="00C771D5"/>
    <w:rsid w:val="00C81385"/>
    <w:rsid w:val="00C83354"/>
    <w:rsid w:val="00C83C07"/>
    <w:rsid w:val="00C84681"/>
    <w:rsid w:val="00C87241"/>
    <w:rsid w:val="00C90921"/>
    <w:rsid w:val="00C90A2C"/>
    <w:rsid w:val="00C90FE7"/>
    <w:rsid w:val="00C9130A"/>
    <w:rsid w:val="00C927F4"/>
    <w:rsid w:val="00C93899"/>
    <w:rsid w:val="00C942CA"/>
    <w:rsid w:val="00CA2DEA"/>
    <w:rsid w:val="00CA6C11"/>
    <w:rsid w:val="00CA7D86"/>
    <w:rsid w:val="00CB2709"/>
    <w:rsid w:val="00CB277B"/>
    <w:rsid w:val="00CB6131"/>
    <w:rsid w:val="00CC0A6F"/>
    <w:rsid w:val="00CC151B"/>
    <w:rsid w:val="00CC220D"/>
    <w:rsid w:val="00CC3136"/>
    <w:rsid w:val="00CC3B16"/>
    <w:rsid w:val="00CC4EFB"/>
    <w:rsid w:val="00CC4F6E"/>
    <w:rsid w:val="00CC51F7"/>
    <w:rsid w:val="00CC7138"/>
    <w:rsid w:val="00CC7CFF"/>
    <w:rsid w:val="00CD1666"/>
    <w:rsid w:val="00CD2180"/>
    <w:rsid w:val="00CD5D51"/>
    <w:rsid w:val="00CD7E68"/>
    <w:rsid w:val="00CE092D"/>
    <w:rsid w:val="00CE2734"/>
    <w:rsid w:val="00CE2789"/>
    <w:rsid w:val="00CE50DC"/>
    <w:rsid w:val="00CE69A3"/>
    <w:rsid w:val="00CE715D"/>
    <w:rsid w:val="00CE71DD"/>
    <w:rsid w:val="00CE77D0"/>
    <w:rsid w:val="00CF0F42"/>
    <w:rsid w:val="00CF5FA1"/>
    <w:rsid w:val="00CF72FC"/>
    <w:rsid w:val="00D03980"/>
    <w:rsid w:val="00D041E8"/>
    <w:rsid w:val="00D04529"/>
    <w:rsid w:val="00D048FF"/>
    <w:rsid w:val="00D05114"/>
    <w:rsid w:val="00D1102E"/>
    <w:rsid w:val="00D130D0"/>
    <w:rsid w:val="00D13300"/>
    <w:rsid w:val="00D1389F"/>
    <w:rsid w:val="00D13993"/>
    <w:rsid w:val="00D145E3"/>
    <w:rsid w:val="00D1507E"/>
    <w:rsid w:val="00D15925"/>
    <w:rsid w:val="00D16E48"/>
    <w:rsid w:val="00D17C61"/>
    <w:rsid w:val="00D2122B"/>
    <w:rsid w:val="00D24C4E"/>
    <w:rsid w:val="00D2694A"/>
    <w:rsid w:val="00D26FC3"/>
    <w:rsid w:val="00D31E3E"/>
    <w:rsid w:val="00D33D68"/>
    <w:rsid w:val="00D37871"/>
    <w:rsid w:val="00D37AB1"/>
    <w:rsid w:val="00D4001A"/>
    <w:rsid w:val="00D40A15"/>
    <w:rsid w:val="00D413AB"/>
    <w:rsid w:val="00D4186D"/>
    <w:rsid w:val="00D431C7"/>
    <w:rsid w:val="00D44DD7"/>
    <w:rsid w:val="00D45197"/>
    <w:rsid w:val="00D454A6"/>
    <w:rsid w:val="00D47D0A"/>
    <w:rsid w:val="00D50484"/>
    <w:rsid w:val="00D52A4E"/>
    <w:rsid w:val="00D56099"/>
    <w:rsid w:val="00D57553"/>
    <w:rsid w:val="00D60127"/>
    <w:rsid w:val="00D62F61"/>
    <w:rsid w:val="00D63C5A"/>
    <w:rsid w:val="00D65042"/>
    <w:rsid w:val="00D65764"/>
    <w:rsid w:val="00D66001"/>
    <w:rsid w:val="00D667CA"/>
    <w:rsid w:val="00D671CC"/>
    <w:rsid w:val="00D730B9"/>
    <w:rsid w:val="00D74007"/>
    <w:rsid w:val="00D7523D"/>
    <w:rsid w:val="00D758BB"/>
    <w:rsid w:val="00D75A79"/>
    <w:rsid w:val="00D75DCB"/>
    <w:rsid w:val="00D76161"/>
    <w:rsid w:val="00D776DD"/>
    <w:rsid w:val="00D80FB5"/>
    <w:rsid w:val="00D8194A"/>
    <w:rsid w:val="00D830EB"/>
    <w:rsid w:val="00D83250"/>
    <w:rsid w:val="00D87A6C"/>
    <w:rsid w:val="00D901B3"/>
    <w:rsid w:val="00D925DF"/>
    <w:rsid w:val="00D943C1"/>
    <w:rsid w:val="00D96325"/>
    <w:rsid w:val="00D9773E"/>
    <w:rsid w:val="00DA1630"/>
    <w:rsid w:val="00DA5D7C"/>
    <w:rsid w:val="00DA6137"/>
    <w:rsid w:val="00DA7F2A"/>
    <w:rsid w:val="00DB1352"/>
    <w:rsid w:val="00DB346D"/>
    <w:rsid w:val="00DB5582"/>
    <w:rsid w:val="00DB7C95"/>
    <w:rsid w:val="00DC097A"/>
    <w:rsid w:val="00DC1EC4"/>
    <w:rsid w:val="00DC4405"/>
    <w:rsid w:val="00DC5A2E"/>
    <w:rsid w:val="00DC5BEE"/>
    <w:rsid w:val="00DC755F"/>
    <w:rsid w:val="00DC7A83"/>
    <w:rsid w:val="00DD15C9"/>
    <w:rsid w:val="00DD2195"/>
    <w:rsid w:val="00DD3131"/>
    <w:rsid w:val="00DD5CEC"/>
    <w:rsid w:val="00DD7301"/>
    <w:rsid w:val="00DE17C6"/>
    <w:rsid w:val="00DE53A0"/>
    <w:rsid w:val="00DE5FCD"/>
    <w:rsid w:val="00DE6B53"/>
    <w:rsid w:val="00DF0D8A"/>
    <w:rsid w:val="00DF15E3"/>
    <w:rsid w:val="00DF24B3"/>
    <w:rsid w:val="00DF30E2"/>
    <w:rsid w:val="00DF3B9F"/>
    <w:rsid w:val="00DF586E"/>
    <w:rsid w:val="00DF6404"/>
    <w:rsid w:val="00E008F0"/>
    <w:rsid w:val="00E01461"/>
    <w:rsid w:val="00E02AC9"/>
    <w:rsid w:val="00E04B7C"/>
    <w:rsid w:val="00E13A2A"/>
    <w:rsid w:val="00E15D19"/>
    <w:rsid w:val="00E16652"/>
    <w:rsid w:val="00E174DA"/>
    <w:rsid w:val="00E17770"/>
    <w:rsid w:val="00E17832"/>
    <w:rsid w:val="00E20B30"/>
    <w:rsid w:val="00E21447"/>
    <w:rsid w:val="00E21768"/>
    <w:rsid w:val="00E22373"/>
    <w:rsid w:val="00E22C19"/>
    <w:rsid w:val="00E240BE"/>
    <w:rsid w:val="00E2514D"/>
    <w:rsid w:val="00E304EE"/>
    <w:rsid w:val="00E33C00"/>
    <w:rsid w:val="00E33EEE"/>
    <w:rsid w:val="00E34D38"/>
    <w:rsid w:val="00E35E88"/>
    <w:rsid w:val="00E36E7D"/>
    <w:rsid w:val="00E41E1E"/>
    <w:rsid w:val="00E44FF2"/>
    <w:rsid w:val="00E47461"/>
    <w:rsid w:val="00E51B7E"/>
    <w:rsid w:val="00E56C28"/>
    <w:rsid w:val="00E634E6"/>
    <w:rsid w:val="00E64253"/>
    <w:rsid w:val="00E648EA"/>
    <w:rsid w:val="00E6587A"/>
    <w:rsid w:val="00E66F93"/>
    <w:rsid w:val="00E678C5"/>
    <w:rsid w:val="00E70A45"/>
    <w:rsid w:val="00E73A1C"/>
    <w:rsid w:val="00E73D40"/>
    <w:rsid w:val="00E73EBE"/>
    <w:rsid w:val="00E75E59"/>
    <w:rsid w:val="00E75F63"/>
    <w:rsid w:val="00E80552"/>
    <w:rsid w:val="00E80ADC"/>
    <w:rsid w:val="00E8267B"/>
    <w:rsid w:val="00E82B52"/>
    <w:rsid w:val="00E860B9"/>
    <w:rsid w:val="00E86C84"/>
    <w:rsid w:val="00E90382"/>
    <w:rsid w:val="00E909CB"/>
    <w:rsid w:val="00E918EE"/>
    <w:rsid w:val="00E92CF0"/>
    <w:rsid w:val="00EA33B5"/>
    <w:rsid w:val="00EA3A43"/>
    <w:rsid w:val="00EA53A7"/>
    <w:rsid w:val="00EA57E9"/>
    <w:rsid w:val="00EA6FBB"/>
    <w:rsid w:val="00EA7B0F"/>
    <w:rsid w:val="00EB0A71"/>
    <w:rsid w:val="00EB1CBF"/>
    <w:rsid w:val="00EB2E83"/>
    <w:rsid w:val="00EB4664"/>
    <w:rsid w:val="00EB5411"/>
    <w:rsid w:val="00EB72EE"/>
    <w:rsid w:val="00EB7DA6"/>
    <w:rsid w:val="00EC0635"/>
    <w:rsid w:val="00EC06BD"/>
    <w:rsid w:val="00EC3774"/>
    <w:rsid w:val="00EC438A"/>
    <w:rsid w:val="00EC7944"/>
    <w:rsid w:val="00ED3015"/>
    <w:rsid w:val="00ED3229"/>
    <w:rsid w:val="00ED4F8A"/>
    <w:rsid w:val="00EE1154"/>
    <w:rsid w:val="00EE1FB8"/>
    <w:rsid w:val="00EE6AE3"/>
    <w:rsid w:val="00EF1468"/>
    <w:rsid w:val="00EF58F2"/>
    <w:rsid w:val="00EF6380"/>
    <w:rsid w:val="00F00DE2"/>
    <w:rsid w:val="00F022B0"/>
    <w:rsid w:val="00F032E2"/>
    <w:rsid w:val="00F07ED2"/>
    <w:rsid w:val="00F10FAD"/>
    <w:rsid w:val="00F126F1"/>
    <w:rsid w:val="00F1507F"/>
    <w:rsid w:val="00F16FA1"/>
    <w:rsid w:val="00F21365"/>
    <w:rsid w:val="00F229CC"/>
    <w:rsid w:val="00F2446A"/>
    <w:rsid w:val="00F250BA"/>
    <w:rsid w:val="00F27F13"/>
    <w:rsid w:val="00F310DF"/>
    <w:rsid w:val="00F3327F"/>
    <w:rsid w:val="00F35B32"/>
    <w:rsid w:val="00F36152"/>
    <w:rsid w:val="00F37A78"/>
    <w:rsid w:val="00F43858"/>
    <w:rsid w:val="00F44287"/>
    <w:rsid w:val="00F44D82"/>
    <w:rsid w:val="00F45E4F"/>
    <w:rsid w:val="00F512C2"/>
    <w:rsid w:val="00F53134"/>
    <w:rsid w:val="00F5410B"/>
    <w:rsid w:val="00F54627"/>
    <w:rsid w:val="00F54DF2"/>
    <w:rsid w:val="00F5615F"/>
    <w:rsid w:val="00F643D2"/>
    <w:rsid w:val="00F64DFC"/>
    <w:rsid w:val="00F65513"/>
    <w:rsid w:val="00F67D69"/>
    <w:rsid w:val="00F70D6C"/>
    <w:rsid w:val="00F717D4"/>
    <w:rsid w:val="00F71B09"/>
    <w:rsid w:val="00F71BD5"/>
    <w:rsid w:val="00F71DF0"/>
    <w:rsid w:val="00F72826"/>
    <w:rsid w:val="00F73319"/>
    <w:rsid w:val="00F76728"/>
    <w:rsid w:val="00F7727C"/>
    <w:rsid w:val="00F834AF"/>
    <w:rsid w:val="00F842F0"/>
    <w:rsid w:val="00F85A3C"/>
    <w:rsid w:val="00F85DB0"/>
    <w:rsid w:val="00F9097F"/>
    <w:rsid w:val="00F909C9"/>
    <w:rsid w:val="00F9171D"/>
    <w:rsid w:val="00F91E0E"/>
    <w:rsid w:val="00F928ED"/>
    <w:rsid w:val="00F939C7"/>
    <w:rsid w:val="00F93A80"/>
    <w:rsid w:val="00F93E90"/>
    <w:rsid w:val="00F954E3"/>
    <w:rsid w:val="00F95879"/>
    <w:rsid w:val="00F9764B"/>
    <w:rsid w:val="00F97EA1"/>
    <w:rsid w:val="00FA0C07"/>
    <w:rsid w:val="00FA217F"/>
    <w:rsid w:val="00FA22C6"/>
    <w:rsid w:val="00FA234A"/>
    <w:rsid w:val="00FA2B8C"/>
    <w:rsid w:val="00FA45EB"/>
    <w:rsid w:val="00FA4DFE"/>
    <w:rsid w:val="00FA655E"/>
    <w:rsid w:val="00FB0AAD"/>
    <w:rsid w:val="00FB25FE"/>
    <w:rsid w:val="00FB3E0C"/>
    <w:rsid w:val="00FB4264"/>
    <w:rsid w:val="00FB5B57"/>
    <w:rsid w:val="00FB72C6"/>
    <w:rsid w:val="00FC1CF1"/>
    <w:rsid w:val="00FC7B38"/>
    <w:rsid w:val="00FD0193"/>
    <w:rsid w:val="00FD37C3"/>
    <w:rsid w:val="00FD40C7"/>
    <w:rsid w:val="00FD5AB2"/>
    <w:rsid w:val="00FD7519"/>
    <w:rsid w:val="00FE0BB6"/>
    <w:rsid w:val="00FE125E"/>
    <w:rsid w:val="00FE1E30"/>
    <w:rsid w:val="00FE41E1"/>
    <w:rsid w:val="00FE65AA"/>
    <w:rsid w:val="00FE7A56"/>
    <w:rsid w:val="00FE7B2E"/>
    <w:rsid w:val="00FE7C1C"/>
    <w:rsid w:val="00FF35B3"/>
    <w:rsid w:val="00FF40D5"/>
    <w:rsid w:val="00FF4FDE"/>
    <w:rsid w:val="00FF7302"/>
    <w:rsid w:val="00FF73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E35624"/>
  <w15:docId w15:val="{D7D93D3A-574F-4F04-8A54-98FAED359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D4001A"/>
    <w:pPr>
      <w:keepNext/>
      <w:keepLines/>
      <w:numPr>
        <w:numId w:val="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D4001A"/>
    <w:pPr>
      <w:keepNext/>
      <w:keepLines/>
      <w:numPr>
        <w:ilvl w:val="1"/>
        <w:numId w:val="6"/>
      </w:numPr>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C7440F"/>
    <w:pPr>
      <w:keepNext/>
      <w:keepLines/>
      <w:numPr>
        <w:ilvl w:val="2"/>
        <w:numId w:val="6"/>
      </w:numPr>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8C6E26"/>
    <w:pPr>
      <w:keepNext/>
      <w:keepLines/>
      <w:numPr>
        <w:ilvl w:val="3"/>
        <w:numId w:val="6"/>
      </w:numPr>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E33C00"/>
    <w:pPr>
      <w:keepNext/>
      <w:keepLines/>
      <w:numPr>
        <w:ilvl w:val="4"/>
        <w:numId w:val="6"/>
      </w:numPr>
      <w:spacing w:before="40" w:after="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semiHidden/>
    <w:unhideWhenUsed/>
    <w:qFormat/>
    <w:rsid w:val="008C6E26"/>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33C00"/>
    <w:pPr>
      <w:keepNext/>
      <w:keepLines/>
      <w:numPr>
        <w:ilvl w:val="6"/>
        <w:numId w:val="6"/>
      </w:numPr>
      <w:spacing w:before="40" w:after="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
    <w:semiHidden/>
    <w:unhideWhenUsed/>
    <w:qFormat/>
    <w:rsid w:val="00E33C00"/>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8C6E26"/>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B03E48"/>
    <w:pPr>
      <w:autoSpaceDE w:val="0"/>
      <w:autoSpaceDN w:val="0"/>
      <w:adjustRightInd w:val="0"/>
      <w:spacing w:after="0" w:line="240" w:lineRule="auto"/>
    </w:pPr>
    <w:rPr>
      <w:rFonts w:ascii="Arial" w:hAnsi="Arial" w:cs="Arial"/>
      <w:color w:val="000000"/>
      <w:sz w:val="24"/>
      <w:szCs w:val="24"/>
    </w:rPr>
  </w:style>
  <w:style w:type="character" w:customStyle="1" w:styleId="Kop1Char">
    <w:name w:val="Kop 1 Char"/>
    <w:basedOn w:val="Standaardalinea-lettertype"/>
    <w:link w:val="Kop1"/>
    <w:uiPriority w:val="9"/>
    <w:rsid w:val="00D4001A"/>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D4001A"/>
    <w:rPr>
      <w:rFonts w:asciiTheme="majorHAnsi" w:eastAsiaTheme="majorEastAsia" w:hAnsiTheme="majorHAnsi" w:cstheme="majorBidi"/>
      <w:b/>
      <w:bCs/>
      <w:color w:val="4F81BD" w:themeColor="accent1"/>
      <w:sz w:val="26"/>
      <w:szCs w:val="26"/>
    </w:rPr>
  </w:style>
  <w:style w:type="paragraph" w:styleId="Ballontekst">
    <w:name w:val="Balloon Text"/>
    <w:basedOn w:val="Standaard"/>
    <w:link w:val="BallontekstChar"/>
    <w:uiPriority w:val="99"/>
    <w:semiHidden/>
    <w:unhideWhenUsed/>
    <w:rsid w:val="00524DD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24DDA"/>
    <w:rPr>
      <w:rFonts w:ascii="Tahoma" w:hAnsi="Tahoma" w:cs="Tahoma"/>
      <w:sz w:val="16"/>
      <w:szCs w:val="16"/>
    </w:rPr>
  </w:style>
  <w:style w:type="character" w:styleId="Verwijzingopmerking">
    <w:name w:val="annotation reference"/>
    <w:basedOn w:val="Standaardalinea-lettertype"/>
    <w:uiPriority w:val="99"/>
    <w:semiHidden/>
    <w:unhideWhenUsed/>
    <w:rsid w:val="00384C96"/>
    <w:rPr>
      <w:sz w:val="16"/>
      <w:szCs w:val="16"/>
    </w:rPr>
  </w:style>
  <w:style w:type="paragraph" w:styleId="Tekstopmerking">
    <w:name w:val="annotation text"/>
    <w:basedOn w:val="Standaard"/>
    <w:link w:val="TekstopmerkingChar"/>
    <w:uiPriority w:val="99"/>
    <w:unhideWhenUsed/>
    <w:rsid w:val="00384C96"/>
    <w:pPr>
      <w:spacing w:line="240" w:lineRule="auto"/>
    </w:pPr>
    <w:rPr>
      <w:sz w:val="20"/>
      <w:szCs w:val="20"/>
    </w:rPr>
  </w:style>
  <w:style w:type="character" w:customStyle="1" w:styleId="TekstopmerkingChar">
    <w:name w:val="Tekst opmerking Char"/>
    <w:basedOn w:val="Standaardalinea-lettertype"/>
    <w:link w:val="Tekstopmerking"/>
    <w:uiPriority w:val="99"/>
    <w:rsid w:val="00384C96"/>
    <w:rPr>
      <w:sz w:val="20"/>
      <w:szCs w:val="20"/>
    </w:rPr>
  </w:style>
  <w:style w:type="paragraph" w:styleId="Onderwerpvanopmerking">
    <w:name w:val="annotation subject"/>
    <w:basedOn w:val="Tekstopmerking"/>
    <w:next w:val="Tekstopmerking"/>
    <w:link w:val="OnderwerpvanopmerkingChar"/>
    <w:uiPriority w:val="99"/>
    <w:semiHidden/>
    <w:unhideWhenUsed/>
    <w:rsid w:val="00384C96"/>
    <w:rPr>
      <w:b/>
      <w:bCs/>
    </w:rPr>
  </w:style>
  <w:style w:type="character" w:customStyle="1" w:styleId="OnderwerpvanopmerkingChar">
    <w:name w:val="Onderwerp van opmerking Char"/>
    <w:basedOn w:val="TekstopmerkingChar"/>
    <w:link w:val="Onderwerpvanopmerking"/>
    <w:uiPriority w:val="99"/>
    <w:semiHidden/>
    <w:rsid w:val="00384C96"/>
    <w:rPr>
      <w:b/>
      <w:bCs/>
      <w:sz w:val="20"/>
      <w:szCs w:val="20"/>
    </w:rPr>
  </w:style>
  <w:style w:type="character" w:customStyle="1" w:styleId="Kop3Char">
    <w:name w:val="Kop 3 Char"/>
    <w:basedOn w:val="Standaardalinea-lettertype"/>
    <w:link w:val="Kop3"/>
    <w:uiPriority w:val="9"/>
    <w:rsid w:val="00C7440F"/>
    <w:rPr>
      <w:rFonts w:asciiTheme="majorHAnsi" w:eastAsiaTheme="majorEastAsia" w:hAnsiTheme="majorHAnsi" w:cstheme="majorBidi"/>
      <w:b/>
      <w:bCs/>
      <w:color w:val="4F81BD" w:themeColor="accent1"/>
    </w:rPr>
  </w:style>
  <w:style w:type="character" w:styleId="Nadruk">
    <w:name w:val="Emphasis"/>
    <w:basedOn w:val="Standaardalinea-lettertype"/>
    <w:uiPriority w:val="20"/>
    <w:qFormat/>
    <w:rsid w:val="00E73D40"/>
    <w:rPr>
      <w:b/>
      <w:bCs/>
      <w:i w:val="0"/>
      <w:iCs w:val="0"/>
    </w:rPr>
  </w:style>
  <w:style w:type="character" w:customStyle="1" w:styleId="st1">
    <w:name w:val="st1"/>
    <w:basedOn w:val="Standaardalinea-lettertype"/>
    <w:rsid w:val="00E73D40"/>
  </w:style>
  <w:style w:type="paragraph" w:styleId="Koptekst">
    <w:name w:val="header"/>
    <w:aliases w:val="H_UGent"/>
    <w:basedOn w:val="Standaard"/>
    <w:link w:val="KoptekstChar"/>
    <w:unhideWhenUsed/>
    <w:rsid w:val="007B1580"/>
    <w:pPr>
      <w:tabs>
        <w:tab w:val="center" w:pos="4536"/>
        <w:tab w:val="right" w:pos="9072"/>
      </w:tabs>
      <w:spacing w:after="0" w:line="240" w:lineRule="auto"/>
    </w:pPr>
  </w:style>
  <w:style w:type="character" w:customStyle="1" w:styleId="KoptekstChar">
    <w:name w:val="Koptekst Char"/>
    <w:aliases w:val="H_UGent Char"/>
    <w:basedOn w:val="Standaardalinea-lettertype"/>
    <w:link w:val="Koptekst"/>
    <w:uiPriority w:val="99"/>
    <w:semiHidden/>
    <w:rsid w:val="007B1580"/>
  </w:style>
  <w:style w:type="paragraph" w:styleId="Voettekst">
    <w:name w:val="footer"/>
    <w:basedOn w:val="Standaard"/>
    <w:link w:val="VoettekstChar"/>
    <w:uiPriority w:val="99"/>
    <w:unhideWhenUsed/>
    <w:rsid w:val="007B158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B1580"/>
  </w:style>
  <w:style w:type="table" w:styleId="Tabelraster">
    <w:name w:val="Table Grid"/>
    <w:basedOn w:val="Standaardtabel"/>
    <w:uiPriority w:val="59"/>
    <w:rsid w:val="00451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9"/>
    <w:rsid w:val="008C6E26"/>
    <w:rPr>
      <w:rFonts w:asciiTheme="majorHAnsi" w:eastAsiaTheme="majorEastAsia" w:hAnsiTheme="majorHAnsi" w:cstheme="majorBidi"/>
      <w:b/>
      <w:bCs/>
      <w:i/>
      <w:iCs/>
      <w:color w:val="4F81BD" w:themeColor="accent1"/>
    </w:rPr>
  </w:style>
  <w:style w:type="character" w:customStyle="1" w:styleId="Kop6Char">
    <w:name w:val="Kop 6 Char"/>
    <w:basedOn w:val="Standaardalinea-lettertype"/>
    <w:link w:val="Kop6"/>
    <w:uiPriority w:val="9"/>
    <w:semiHidden/>
    <w:rsid w:val="008C6E26"/>
    <w:rPr>
      <w:rFonts w:asciiTheme="majorHAnsi" w:eastAsiaTheme="majorEastAsia" w:hAnsiTheme="majorHAnsi" w:cstheme="majorBidi"/>
      <w:i/>
      <w:iCs/>
      <w:color w:val="243F60" w:themeColor="accent1" w:themeShade="7F"/>
    </w:rPr>
  </w:style>
  <w:style w:type="character" w:customStyle="1" w:styleId="Kop9Char">
    <w:name w:val="Kop 9 Char"/>
    <w:basedOn w:val="Standaardalinea-lettertype"/>
    <w:link w:val="Kop9"/>
    <w:uiPriority w:val="9"/>
    <w:semiHidden/>
    <w:rsid w:val="008C6E26"/>
    <w:rPr>
      <w:rFonts w:asciiTheme="majorHAnsi" w:eastAsiaTheme="majorEastAsia" w:hAnsiTheme="majorHAnsi" w:cstheme="majorBidi"/>
      <w:i/>
      <w:iCs/>
      <w:color w:val="404040" w:themeColor="text1" w:themeTint="BF"/>
      <w:sz w:val="20"/>
      <w:szCs w:val="20"/>
    </w:rPr>
  </w:style>
  <w:style w:type="paragraph" w:styleId="Kopvaninhoudsopgave">
    <w:name w:val="TOC Heading"/>
    <w:basedOn w:val="Kop1"/>
    <w:next w:val="Standaard"/>
    <w:uiPriority w:val="39"/>
    <w:unhideWhenUsed/>
    <w:qFormat/>
    <w:rsid w:val="00C942CA"/>
    <w:pPr>
      <w:spacing w:before="240" w:line="259" w:lineRule="auto"/>
      <w:outlineLvl w:val="9"/>
    </w:pPr>
    <w:rPr>
      <w:b w:val="0"/>
      <w:bCs w:val="0"/>
      <w:sz w:val="32"/>
      <w:szCs w:val="32"/>
    </w:rPr>
  </w:style>
  <w:style w:type="paragraph" w:styleId="Inhopg1">
    <w:name w:val="toc 1"/>
    <w:basedOn w:val="Standaard"/>
    <w:next w:val="Standaard"/>
    <w:autoRedefine/>
    <w:uiPriority w:val="39"/>
    <w:unhideWhenUsed/>
    <w:rsid w:val="00C942CA"/>
    <w:pPr>
      <w:spacing w:after="100"/>
    </w:pPr>
  </w:style>
  <w:style w:type="paragraph" w:styleId="Inhopg3">
    <w:name w:val="toc 3"/>
    <w:basedOn w:val="Standaard"/>
    <w:next w:val="Standaard"/>
    <w:autoRedefine/>
    <w:uiPriority w:val="39"/>
    <w:unhideWhenUsed/>
    <w:rsid w:val="00C942CA"/>
    <w:pPr>
      <w:spacing w:after="100"/>
      <w:ind w:left="440"/>
    </w:pPr>
  </w:style>
  <w:style w:type="paragraph" w:styleId="Inhopg2">
    <w:name w:val="toc 2"/>
    <w:basedOn w:val="Standaard"/>
    <w:next w:val="Standaard"/>
    <w:autoRedefine/>
    <w:uiPriority w:val="39"/>
    <w:unhideWhenUsed/>
    <w:rsid w:val="00C942CA"/>
    <w:pPr>
      <w:spacing w:after="100"/>
      <w:ind w:left="220"/>
    </w:pPr>
  </w:style>
  <w:style w:type="character" w:styleId="Hyperlink">
    <w:name w:val="Hyperlink"/>
    <w:basedOn w:val="Standaardalinea-lettertype"/>
    <w:uiPriority w:val="99"/>
    <w:unhideWhenUsed/>
    <w:rsid w:val="00C942CA"/>
    <w:rPr>
      <w:color w:val="0000FF" w:themeColor="hyperlink"/>
      <w:u w:val="single"/>
    </w:rPr>
  </w:style>
  <w:style w:type="table" w:styleId="Lichtelijst">
    <w:name w:val="Light List"/>
    <w:basedOn w:val="Standaardtabel"/>
    <w:uiPriority w:val="61"/>
    <w:rsid w:val="004F66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Onopgemaaktetabel51">
    <w:name w:val="Onopgemaakte tabel 51"/>
    <w:basedOn w:val="Standaardtabel"/>
    <w:uiPriority w:val="45"/>
    <w:rsid w:val="00EB2E8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jstalinea">
    <w:name w:val="List Paragraph"/>
    <w:basedOn w:val="Standaard"/>
    <w:uiPriority w:val="34"/>
    <w:qFormat/>
    <w:rsid w:val="00121833"/>
    <w:pPr>
      <w:ind w:left="720"/>
      <w:contextualSpacing/>
    </w:pPr>
  </w:style>
  <w:style w:type="character" w:customStyle="1" w:styleId="apple-converted-space">
    <w:name w:val="apple-converted-space"/>
    <w:basedOn w:val="Standaardalinea-lettertype"/>
    <w:rsid w:val="00854C50"/>
  </w:style>
  <w:style w:type="table" w:customStyle="1" w:styleId="Rastertabel1licht-Accent51">
    <w:name w:val="Rastertabel 1 licht - Accent 51"/>
    <w:basedOn w:val="Standaardtabel"/>
    <w:uiPriority w:val="46"/>
    <w:rsid w:val="00556629"/>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Lijsttabel3-Accent51">
    <w:name w:val="Lijsttabel 3 - Accent 51"/>
    <w:basedOn w:val="Standaardtabel"/>
    <w:uiPriority w:val="48"/>
    <w:rsid w:val="0055662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jsttabel7kleurrijk-Accent51">
    <w:name w:val="Lijsttabel 7 kleurrijk - Accent 51"/>
    <w:basedOn w:val="Standaardtabel"/>
    <w:uiPriority w:val="52"/>
    <w:rsid w:val="00D1507E"/>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31">
    <w:name w:val="Lijsttabel 31"/>
    <w:basedOn w:val="Standaardtabel"/>
    <w:uiPriority w:val="48"/>
    <w:rsid w:val="00AE504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Kop5Char">
    <w:name w:val="Kop 5 Char"/>
    <w:basedOn w:val="Standaardalinea-lettertype"/>
    <w:link w:val="Kop5"/>
    <w:uiPriority w:val="9"/>
    <w:rsid w:val="00E33C00"/>
    <w:rPr>
      <w:rFonts w:asciiTheme="majorHAnsi" w:eastAsiaTheme="majorEastAsia" w:hAnsiTheme="majorHAnsi" w:cstheme="majorBidi"/>
      <w:color w:val="365F91" w:themeColor="accent1" w:themeShade="BF"/>
    </w:rPr>
  </w:style>
  <w:style w:type="character" w:customStyle="1" w:styleId="Kop7Char">
    <w:name w:val="Kop 7 Char"/>
    <w:basedOn w:val="Standaardalinea-lettertype"/>
    <w:link w:val="Kop7"/>
    <w:uiPriority w:val="9"/>
    <w:semiHidden/>
    <w:rsid w:val="00E33C00"/>
    <w:rPr>
      <w:rFonts w:asciiTheme="majorHAnsi" w:eastAsiaTheme="majorEastAsia" w:hAnsiTheme="majorHAnsi" w:cstheme="majorBidi"/>
      <w:i/>
      <w:iCs/>
      <w:color w:val="243F60" w:themeColor="accent1" w:themeShade="7F"/>
    </w:rPr>
  </w:style>
  <w:style w:type="character" w:customStyle="1" w:styleId="Kop8Char">
    <w:name w:val="Kop 8 Char"/>
    <w:basedOn w:val="Standaardalinea-lettertype"/>
    <w:link w:val="Kop8"/>
    <w:uiPriority w:val="9"/>
    <w:semiHidden/>
    <w:rsid w:val="00E33C00"/>
    <w:rPr>
      <w:rFonts w:asciiTheme="majorHAnsi" w:eastAsiaTheme="majorEastAsia" w:hAnsiTheme="majorHAnsi" w:cstheme="majorBidi"/>
      <w:color w:val="272727" w:themeColor="text1" w:themeTint="D8"/>
      <w:sz w:val="21"/>
      <w:szCs w:val="21"/>
    </w:rPr>
  </w:style>
  <w:style w:type="table" w:customStyle="1" w:styleId="Onopgemaaktetabel21">
    <w:name w:val="Onopgemaakte tabel 21"/>
    <w:basedOn w:val="Standaardtabel"/>
    <w:uiPriority w:val="42"/>
    <w:rsid w:val="00584DB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Inhopg4">
    <w:name w:val="toc 4"/>
    <w:basedOn w:val="Standaard"/>
    <w:next w:val="Standaard"/>
    <w:autoRedefine/>
    <w:uiPriority w:val="39"/>
    <w:unhideWhenUsed/>
    <w:rsid w:val="00107385"/>
    <w:pPr>
      <w:spacing w:after="100" w:line="259" w:lineRule="auto"/>
      <w:ind w:left="660"/>
    </w:pPr>
  </w:style>
  <w:style w:type="paragraph" w:styleId="Inhopg5">
    <w:name w:val="toc 5"/>
    <w:basedOn w:val="Standaard"/>
    <w:next w:val="Standaard"/>
    <w:autoRedefine/>
    <w:uiPriority w:val="39"/>
    <w:unhideWhenUsed/>
    <w:rsid w:val="00107385"/>
    <w:pPr>
      <w:spacing w:after="100" w:line="259" w:lineRule="auto"/>
      <w:ind w:left="880"/>
    </w:pPr>
  </w:style>
  <w:style w:type="paragraph" w:styleId="Inhopg6">
    <w:name w:val="toc 6"/>
    <w:basedOn w:val="Standaard"/>
    <w:next w:val="Standaard"/>
    <w:autoRedefine/>
    <w:uiPriority w:val="39"/>
    <w:unhideWhenUsed/>
    <w:rsid w:val="00107385"/>
    <w:pPr>
      <w:spacing w:after="100" w:line="259" w:lineRule="auto"/>
      <w:ind w:left="1100"/>
    </w:pPr>
  </w:style>
  <w:style w:type="paragraph" w:styleId="Inhopg7">
    <w:name w:val="toc 7"/>
    <w:basedOn w:val="Standaard"/>
    <w:next w:val="Standaard"/>
    <w:autoRedefine/>
    <w:uiPriority w:val="39"/>
    <w:unhideWhenUsed/>
    <w:rsid w:val="00107385"/>
    <w:pPr>
      <w:spacing w:after="100" w:line="259" w:lineRule="auto"/>
      <w:ind w:left="1320"/>
    </w:pPr>
  </w:style>
  <w:style w:type="paragraph" w:styleId="Inhopg8">
    <w:name w:val="toc 8"/>
    <w:basedOn w:val="Standaard"/>
    <w:next w:val="Standaard"/>
    <w:autoRedefine/>
    <w:uiPriority w:val="39"/>
    <w:unhideWhenUsed/>
    <w:rsid w:val="00107385"/>
    <w:pPr>
      <w:spacing w:after="100" w:line="259" w:lineRule="auto"/>
      <w:ind w:left="1540"/>
    </w:pPr>
  </w:style>
  <w:style w:type="paragraph" w:styleId="Inhopg9">
    <w:name w:val="toc 9"/>
    <w:basedOn w:val="Standaard"/>
    <w:next w:val="Standaard"/>
    <w:autoRedefine/>
    <w:uiPriority w:val="39"/>
    <w:unhideWhenUsed/>
    <w:rsid w:val="00107385"/>
    <w:pPr>
      <w:spacing w:after="100" w:line="259" w:lineRule="auto"/>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16461">
      <w:bodyDiv w:val="1"/>
      <w:marLeft w:val="0"/>
      <w:marRight w:val="0"/>
      <w:marTop w:val="0"/>
      <w:marBottom w:val="0"/>
      <w:divBdr>
        <w:top w:val="none" w:sz="0" w:space="0" w:color="auto"/>
        <w:left w:val="none" w:sz="0" w:space="0" w:color="auto"/>
        <w:bottom w:val="none" w:sz="0" w:space="0" w:color="auto"/>
        <w:right w:val="none" w:sz="0" w:space="0" w:color="auto"/>
      </w:divBdr>
    </w:div>
    <w:div w:id="213588026">
      <w:bodyDiv w:val="1"/>
      <w:marLeft w:val="0"/>
      <w:marRight w:val="0"/>
      <w:marTop w:val="0"/>
      <w:marBottom w:val="0"/>
      <w:divBdr>
        <w:top w:val="none" w:sz="0" w:space="0" w:color="auto"/>
        <w:left w:val="none" w:sz="0" w:space="0" w:color="auto"/>
        <w:bottom w:val="none" w:sz="0" w:space="0" w:color="auto"/>
        <w:right w:val="none" w:sz="0" w:space="0" w:color="auto"/>
      </w:divBdr>
    </w:div>
    <w:div w:id="266743990">
      <w:bodyDiv w:val="1"/>
      <w:marLeft w:val="0"/>
      <w:marRight w:val="0"/>
      <w:marTop w:val="0"/>
      <w:marBottom w:val="0"/>
      <w:divBdr>
        <w:top w:val="none" w:sz="0" w:space="0" w:color="auto"/>
        <w:left w:val="none" w:sz="0" w:space="0" w:color="auto"/>
        <w:bottom w:val="none" w:sz="0" w:space="0" w:color="auto"/>
        <w:right w:val="none" w:sz="0" w:space="0" w:color="auto"/>
      </w:divBdr>
    </w:div>
    <w:div w:id="666438523">
      <w:bodyDiv w:val="1"/>
      <w:marLeft w:val="0"/>
      <w:marRight w:val="0"/>
      <w:marTop w:val="0"/>
      <w:marBottom w:val="0"/>
      <w:divBdr>
        <w:top w:val="none" w:sz="0" w:space="0" w:color="auto"/>
        <w:left w:val="none" w:sz="0" w:space="0" w:color="auto"/>
        <w:bottom w:val="none" w:sz="0" w:space="0" w:color="auto"/>
        <w:right w:val="none" w:sz="0" w:space="0" w:color="auto"/>
      </w:divBdr>
    </w:div>
    <w:div w:id="721834083">
      <w:bodyDiv w:val="1"/>
      <w:marLeft w:val="0"/>
      <w:marRight w:val="0"/>
      <w:marTop w:val="0"/>
      <w:marBottom w:val="0"/>
      <w:divBdr>
        <w:top w:val="none" w:sz="0" w:space="0" w:color="auto"/>
        <w:left w:val="none" w:sz="0" w:space="0" w:color="auto"/>
        <w:bottom w:val="none" w:sz="0" w:space="0" w:color="auto"/>
        <w:right w:val="none" w:sz="0" w:space="0" w:color="auto"/>
      </w:divBdr>
    </w:div>
    <w:div w:id="895823426">
      <w:bodyDiv w:val="1"/>
      <w:marLeft w:val="0"/>
      <w:marRight w:val="0"/>
      <w:marTop w:val="0"/>
      <w:marBottom w:val="0"/>
      <w:divBdr>
        <w:top w:val="none" w:sz="0" w:space="0" w:color="auto"/>
        <w:left w:val="none" w:sz="0" w:space="0" w:color="auto"/>
        <w:bottom w:val="none" w:sz="0" w:space="0" w:color="auto"/>
        <w:right w:val="none" w:sz="0" w:space="0" w:color="auto"/>
      </w:divBdr>
    </w:div>
    <w:div w:id="1023171506">
      <w:bodyDiv w:val="1"/>
      <w:marLeft w:val="0"/>
      <w:marRight w:val="0"/>
      <w:marTop w:val="0"/>
      <w:marBottom w:val="0"/>
      <w:divBdr>
        <w:top w:val="none" w:sz="0" w:space="0" w:color="auto"/>
        <w:left w:val="none" w:sz="0" w:space="0" w:color="auto"/>
        <w:bottom w:val="none" w:sz="0" w:space="0" w:color="auto"/>
        <w:right w:val="none" w:sz="0" w:space="0" w:color="auto"/>
      </w:divBdr>
    </w:div>
    <w:div w:id="1062948573">
      <w:bodyDiv w:val="1"/>
      <w:marLeft w:val="0"/>
      <w:marRight w:val="0"/>
      <w:marTop w:val="0"/>
      <w:marBottom w:val="0"/>
      <w:divBdr>
        <w:top w:val="none" w:sz="0" w:space="0" w:color="auto"/>
        <w:left w:val="none" w:sz="0" w:space="0" w:color="auto"/>
        <w:bottom w:val="none" w:sz="0" w:space="0" w:color="auto"/>
        <w:right w:val="none" w:sz="0" w:space="0" w:color="auto"/>
      </w:divBdr>
    </w:div>
    <w:div w:id="1333605952">
      <w:bodyDiv w:val="1"/>
      <w:marLeft w:val="0"/>
      <w:marRight w:val="0"/>
      <w:marTop w:val="0"/>
      <w:marBottom w:val="0"/>
      <w:divBdr>
        <w:top w:val="none" w:sz="0" w:space="0" w:color="auto"/>
        <w:left w:val="none" w:sz="0" w:space="0" w:color="auto"/>
        <w:bottom w:val="none" w:sz="0" w:space="0" w:color="auto"/>
        <w:right w:val="none" w:sz="0" w:space="0" w:color="auto"/>
      </w:divBdr>
    </w:div>
    <w:div w:id="2114282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88B78D-7650-4950-AF57-7734FAE73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1114</TotalTime>
  <Pages>1</Pages>
  <Words>77126</Words>
  <Characters>424198</Characters>
  <Application>Microsoft Office Word</Application>
  <DocSecurity>0</DocSecurity>
  <Lines>3534</Lines>
  <Paragraphs>1000</Paragraphs>
  <ScaleCrop>false</ScaleCrop>
  <HeadingPairs>
    <vt:vector size="2" baseType="variant">
      <vt:variant>
        <vt:lpstr>Titel</vt:lpstr>
      </vt:variant>
      <vt:variant>
        <vt:i4>1</vt:i4>
      </vt:variant>
    </vt:vector>
  </HeadingPairs>
  <TitlesOfParts>
    <vt:vector size="1" baseType="lpstr">
      <vt:lpstr/>
    </vt:vector>
  </TitlesOfParts>
  <Company>UZ Gent</Company>
  <LinksUpToDate>false</LinksUpToDate>
  <CharactersWithSpaces>500324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Lloyd Tack</dc:creator>
  <cp:lastModifiedBy>Lloyd Tack</cp:lastModifiedBy>
  <cp:revision>80</cp:revision>
  <cp:lastPrinted>2016-05-26T11:35:00Z</cp:lastPrinted>
  <dcterms:created xsi:type="dcterms:W3CDTF">2016-05-19T17:12:00Z</dcterms:created>
  <dcterms:modified xsi:type="dcterms:W3CDTF">2016-05-26T11:36:00Z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lloydtack@gmail.com@www.mendeley.com</vt:lpwstr>
  </property>
  <property fmtid="{D5CDD505-2E9C-101B-9397-08002B2CF9AE}" pid="4" name="Mendeley Citation Style_1">
    <vt:lpwstr>http://www.zotero.org/styles/vancouver</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http://www.zotero.org/styles/biology-of-sex-differences</vt:lpwstr>
  </property>
  <property fmtid="{D5CDD505-2E9C-101B-9397-08002B2CF9AE}" pid="8" name="Mendeley Recent Style Name 1_1">
    <vt:lpwstr>Biology of Sex Differences</vt:lpwstr>
  </property>
  <property fmtid="{D5CDD505-2E9C-101B-9397-08002B2CF9AE}" pid="9" name="Mendeley Recent Style Id 2_1">
    <vt:lpwstr>http://www.zotero.org/styles/nature</vt:lpwstr>
  </property>
  <property fmtid="{D5CDD505-2E9C-101B-9397-08002B2CF9AE}" pid="10" name="Mendeley Recent Style Name 2_1">
    <vt:lpwstr>Nature</vt:lpwstr>
  </property>
  <property fmtid="{D5CDD505-2E9C-101B-9397-08002B2CF9AE}" pid="11" name="Mendeley Recent Style Id 3_1">
    <vt:lpwstr>http://www.zotero.org/styles/pituitary</vt:lpwstr>
  </property>
  <property fmtid="{D5CDD505-2E9C-101B-9397-08002B2CF9AE}" pid="12" name="Mendeley Recent Style Name 3_1">
    <vt:lpwstr>Pituitary</vt:lpwstr>
  </property>
  <property fmtid="{D5CDD505-2E9C-101B-9397-08002B2CF9AE}" pid="13" name="Mendeley Recent Style Id 4_1">
    <vt:lpwstr>http://www.zotero.org/styles/springer-basic-brackets-no-et-al</vt:lpwstr>
  </property>
  <property fmtid="{D5CDD505-2E9C-101B-9397-08002B2CF9AE}" pid="14" name="Mendeley Recent Style Name 4_1">
    <vt:lpwstr>Springer Basic (numeric, brackets, no "et al.")</vt:lpwstr>
  </property>
  <property fmtid="{D5CDD505-2E9C-101B-9397-08002B2CF9AE}" pid="15" name="Mendeley Recent Style Id 5_1">
    <vt:lpwstr>http://www.zotero.org/styles/springer-mathphys-brackets</vt:lpwstr>
  </property>
  <property fmtid="{D5CDD505-2E9C-101B-9397-08002B2CF9AE}" pid="16" name="Mendeley Recent Style Name 5_1">
    <vt:lpwstr>Springer MathPhys (numeric, brackets)</vt:lpwstr>
  </property>
  <property fmtid="{D5CDD505-2E9C-101B-9397-08002B2CF9AE}" pid="17" name="Mendeley Recent Style Id 6_1">
    <vt:lpwstr>http://www.zotero.org/styles/springer-socpsych-brackets</vt:lpwstr>
  </property>
  <property fmtid="{D5CDD505-2E9C-101B-9397-08002B2CF9AE}" pid="18" name="Mendeley Recent Style Name 6_1">
    <vt:lpwstr>Springer SocPsych (numeric, brackets)</vt:lpwstr>
  </property>
  <property fmtid="{D5CDD505-2E9C-101B-9397-08002B2CF9AE}" pid="19" name="Mendeley Recent Style Id 7_1">
    <vt:lpwstr>http://www.zotero.org/styles/springer-vancouver-brackets</vt:lpwstr>
  </property>
  <property fmtid="{D5CDD505-2E9C-101B-9397-08002B2CF9AE}" pid="20" name="Mendeley Recent Style Name 7_1">
    <vt:lpwstr>Springer Vancouver (brackets)</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http://www.zotero.org/styles/vancouver-brackets</vt:lpwstr>
  </property>
  <property fmtid="{D5CDD505-2E9C-101B-9397-08002B2CF9AE}" pid="24" name="Mendeley Recent Style Name 9_1">
    <vt:lpwstr>Vancouver (brackets)</vt:lpwstr>
  </property>
</Properties>
</file>